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8B86" w14:textId="414D6F75" w:rsidR="00174A69" w:rsidRDefault="00174A69" w:rsidP="00174A69">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F62E9E">
        <w:rPr>
          <w:b/>
          <w:noProof/>
          <w:sz w:val="24"/>
        </w:rPr>
        <w:t>10</w:t>
      </w:r>
      <w:r w:rsidR="0014021C">
        <w:rPr>
          <w:b/>
          <w:noProof/>
          <w:sz w:val="24"/>
        </w:rPr>
        <w:t>1</w:t>
      </w:r>
      <w:r>
        <w:rPr>
          <w:b/>
          <w:noProof/>
          <w:sz w:val="24"/>
        </w:rPr>
        <w:t>-</w:t>
      </w:r>
      <w:r w:rsidR="00B9774E">
        <w:rPr>
          <w:b/>
          <w:noProof/>
          <w:sz w:val="24"/>
        </w:rPr>
        <w:t>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B95855">
        <w:rPr>
          <w:b/>
          <w:i/>
          <w:noProof/>
          <w:sz w:val="28"/>
        </w:rPr>
        <w:t>200658</w:t>
      </w:r>
    </w:p>
    <w:p w14:paraId="103F4044" w14:textId="00588D76" w:rsidR="00174A69" w:rsidRDefault="00174A69" w:rsidP="00174A69">
      <w:pPr>
        <w:pStyle w:val="CRCoverPage"/>
        <w:outlineLvl w:val="0"/>
        <w:rPr>
          <w:b/>
          <w:noProof/>
          <w:sz w:val="24"/>
        </w:rPr>
      </w:pPr>
      <w:r>
        <w:rPr>
          <w:b/>
          <w:noProof/>
          <w:sz w:val="24"/>
        </w:rPr>
        <w:t xml:space="preserve">Electronic meeting, </w:t>
      </w:r>
      <w:r w:rsidR="00B9774E">
        <w:rPr>
          <w:rFonts w:cs="Arial"/>
          <w:b/>
          <w:sz w:val="24"/>
          <w:szCs w:val="28"/>
          <w:lang w:val="en-US" w:eastAsia="zh-CN"/>
        </w:rPr>
        <w:t>January</w:t>
      </w:r>
      <w:r w:rsidR="00B9774E">
        <w:rPr>
          <w:rFonts w:cs="Arial"/>
          <w:b/>
          <w:sz w:val="24"/>
          <w:szCs w:val="28"/>
          <w:lang w:val="en-US"/>
        </w:rPr>
        <w:t xml:space="preserve"> 17 – </w:t>
      </w:r>
      <w:r w:rsidR="00B9774E">
        <w:rPr>
          <w:rFonts w:cs="Arial"/>
          <w:b/>
          <w:sz w:val="24"/>
          <w:szCs w:val="28"/>
          <w:lang w:val="en-US" w:eastAsia="zh-CN"/>
        </w:rPr>
        <w:t>January</w:t>
      </w:r>
      <w:r w:rsidR="00B9774E">
        <w:rPr>
          <w:rFonts w:cs="Arial"/>
          <w:b/>
          <w:sz w:val="24"/>
          <w:szCs w:val="28"/>
          <w:lang w:val="en-US"/>
        </w:rPr>
        <w:t xml:space="preserve"> 25</w:t>
      </w:r>
      <w:r w:rsidR="00B9774E" w:rsidRPr="001D2FBF">
        <w:rPr>
          <w:rFonts w:cs="Arial"/>
          <w:b/>
          <w:sz w:val="24"/>
          <w:szCs w:val="28"/>
          <w:lang w:val="en-US"/>
        </w:rPr>
        <w:t>, 202</w:t>
      </w:r>
      <w:r w:rsidR="00B9774E">
        <w:rPr>
          <w:rFonts w:cs="Arial"/>
          <w:b/>
          <w:sz w:val="24"/>
          <w:szCs w:val="28"/>
          <w:lang w:val="en-US"/>
        </w:rPr>
        <w:t>2</w:t>
      </w:r>
    </w:p>
    <w:p w14:paraId="65912719" w14:textId="77777777" w:rsidR="00174A69" w:rsidRPr="00CF195E" w:rsidRDefault="00174A69" w:rsidP="00174A69">
      <w:pPr>
        <w:pBdr>
          <w:top w:val="single" w:sz="4" w:space="1" w:color="auto"/>
        </w:pBdr>
        <w:spacing w:after="0"/>
        <w:rPr>
          <w:b/>
          <w:kern w:val="2"/>
          <w:sz w:val="16"/>
          <w:szCs w:val="16"/>
        </w:rPr>
      </w:pPr>
    </w:p>
    <w:p w14:paraId="0C95E558" w14:textId="6BC91698" w:rsidR="00174A69" w:rsidRPr="00086BFD" w:rsidRDefault="00174A69" w:rsidP="00174A69">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5CF53909" w:rsidR="00F62E9E" w:rsidRPr="00086BFD" w:rsidRDefault="00174A69" w:rsidP="00F62E9E">
      <w:pPr>
        <w:ind w:left="1985" w:hanging="1985"/>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D2146E">
        <w:rPr>
          <w:sz w:val="22"/>
        </w:rPr>
        <w:t>F</w:t>
      </w:r>
      <w:r w:rsidR="00D2146E">
        <w:rPr>
          <w:rFonts w:hint="eastAsia"/>
          <w:sz w:val="22"/>
        </w:rPr>
        <w:t>urther</w:t>
      </w:r>
      <w:r w:rsidR="00D2146E">
        <w:rPr>
          <w:sz w:val="22"/>
        </w:rPr>
        <w:t xml:space="preserve"> </w:t>
      </w:r>
      <w:r w:rsidR="00D2146E">
        <w:rPr>
          <w:rFonts w:hint="eastAsia"/>
          <w:sz w:val="22"/>
        </w:rPr>
        <w:t>d</w:t>
      </w:r>
      <w:r w:rsidR="00F62E9E">
        <w:rPr>
          <w:rFonts w:hint="eastAsia"/>
          <w:sz w:val="22"/>
        </w:rPr>
        <w:t>iscussion</w:t>
      </w:r>
      <w:r w:rsidR="00F62E9E">
        <w:rPr>
          <w:sz w:val="22"/>
        </w:rPr>
        <w:t xml:space="preserve"> </w:t>
      </w:r>
      <w:r w:rsidR="00F62E9E">
        <w:rPr>
          <w:rFonts w:hint="eastAsia"/>
          <w:sz w:val="22"/>
        </w:rPr>
        <w:t>on</w:t>
      </w:r>
      <w:r w:rsidR="00B9774E">
        <w:rPr>
          <w:sz w:val="22"/>
        </w:rPr>
        <w:t xml:space="preserve"> active BWP </w:t>
      </w:r>
      <w:r w:rsidR="00F62E9E">
        <w:rPr>
          <w:rFonts w:hint="eastAsia"/>
          <w:sz w:val="22"/>
        </w:rPr>
        <w:t>switching</w:t>
      </w:r>
      <w:r w:rsidR="00F62E9E">
        <w:rPr>
          <w:sz w:val="22"/>
        </w:rPr>
        <w:t xml:space="preserve"> </w:t>
      </w:r>
      <w:r w:rsidR="00F62E9E">
        <w:rPr>
          <w:rFonts w:hint="eastAsia"/>
          <w:sz w:val="22"/>
        </w:rPr>
        <w:t>delay</w:t>
      </w:r>
      <w:r w:rsidR="00F62E9E">
        <w:rPr>
          <w:sz w:val="22"/>
        </w:rPr>
        <w:t xml:space="preserve"> </w:t>
      </w:r>
      <w:r w:rsidR="00F62E9E">
        <w:rPr>
          <w:rFonts w:hint="eastAsia"/>
          <w:sz w:val="22"/>
        </w:rPr>
        <w:t>for</w:t>
      </w:r>
      <w:r w:rsidR="00F62E9E">
        <w:rPr>
          <w:sz w:val="22"/>
        </w:rPr>
        <w:t xml:space="preserve"> 52.6-71GHz</w:t>
      </w:r>
    </w:p>
    <w:bookmarkEnd w:id="2"/>
    <w:bookmarkEnd w:id="3"/>
    <w:p w14:paraId="30D11868" w14:textId="602C5D34" w:rsidR="00174A69" w:rsidRPr="00086BFD" w:rsidRDefault="00174A69" w:rsidP="00174A69">
      <w:pPr>
        <w:ind w:left="1985" w:hanging="1985"/>
        <w:rPr>
          <w:sz w:val="22"/>
        </w:rPr>
      </w:pPr>
      <w:r w:rsidRPr="00086BFD">
        <w:rPr>
          <w:b/>
          <w:sz w:val="22"/>
        </w:rPr>
        <w:t>Agenda Item:</w:t>
      </w:r>
      <w:r w:rsidRPr="00086BFD">
        <w:rPr>
          <w:sz w:val="22"/>
        </w:rPr>
        <w:tab/>
      </w:r>
      <w:r w:rsidR="00F20058">
        <w:rPr>
          <w:sz w:val="22"/>
        </w:rPr>
        <w:t>6.16.7.4</w:t>
      </w:r>
    </w:p>
    <w:p w14:paraId="60A229B7" w14:textId="3AF1344B" w:rsidR="00174A69" w:rsidRPr="00086BFD" w:rsidRDefault="00174A69" w:rsidP="00174A69">
      <w:pPr>
        <w:tabs>
          <w:tab w:val="left" w:pos="1985"/>
        </w:tabs>
        <w:jc w:val="both"/>
        <w:rPr>
          <w:sz w:val="22"/>
        </w:rPr>
      </w:pPr>
      <w:r w:rsidRPr="00086BFD">
        <w:rPr>
          <w:b/>
          <w:sz w:val="22"/>
        </w:rPr>
        <w:t>Document for:</w:t>
      </w:r>
      <w:r w:rsidRPr="00086BFD">
        <w:rPr>
          <w:sz w:val="22"/>
        </w:rPr>
        <w:tab/>
      </w:r>
      <w:r w:rsidR="00F62E9E">
        <w:rPr>
          <w:sz w:val="22"/>
        </w:rPr>
        <w:t>D</w:t>
      </w:r>
      <w:r w:rsidR="00F62E9E">
        <w:rPr>
          <w:rFonts w:hint="eastAsia"/>
          <w:sz w:val="22"/>
        </w:rPr>
        <w:t>iscussion</w:t>
      </w:r>
    </w:p>
    <w:bookmarkEnd w:id="0"/>
    <w:bookmarkEnd w:id="1"/>
    <w:p w14:paraId="42C46B9D" w14:textId="48E1B896" w:rsidR="00F62E9E" w:rsidRDefault="00174A69" w:rsidP="00F62E9E">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14:paraId="790E286B" w14:textId="73EEBBD6" w:rsidR="00E963EB" w:rsidRDefault="007B3309" w:rsidP="00B928A8">
      <w:pPr>
        <w:spacing w:before="100" w:beforeAutospacing="1" w:afterLines="50" w:after="120"/>
        <w:jc w:val="both"/>
        <w:rPr>
          <w:lang w:val="en-US"/>
        </w:rPr>
      </w:pPr>
      <w:r>
        <w:rPr>
          <w:rFonts w:hint="eastAsia"/>
          <w:lang w:val="en-US"/>
        </w:rPr>
        <w:t>The</w:t>
      </w:r>
      <w:r>
        <w:rPr>
          <w:lang w:val="en-US"/>
        </w:rPr>
        <w:t xml:space="preserve"> </w:t>
      </w:r>
      <w:r>
        <w:rPr>
          <w:rFonts w:hint="eastAsia"/>
          <w:lang w:val="en-US"/>
        </w:rPr>
        <w:t>active</w:t>
      </w:r>
      <w:r>
        <w:rPr>
          <w:lang w:val="en-US"/>
        </w:rPr>
        <w:t xml:space="preserve"> BWP </w:t>
      </w:r>
      <w:r>
        <w:rPr>
          <w:rFonts w:hint="eastAsia"/>
          <w:lang w:val="en-US"/>
        </w:rPr>
        <w:t>switching</w:t>
      </w:r>
      <w:r>
        <w:rPr>
          <w:lang w:val="en-US"/>
        </w:rPr>
        <w:t xml:space="preserve"> </w:t>
      </w:r>
      <w:r>
        <w:rPr>
          <w:rFonts w:hint="eastAsia"/>
          <w:lang w:val="en-US"/>
        </w:rPr>
        <w:t>delay</w:t>
      </w:r>
      <w:r>
        <w:rPr>
          <w:lang w:val="en-US"/>
        </w:rPr>
        <w:t xml:space="preserve"> </w:t>
      </w:r>
      <w:r>
        <w:rPr>
          <w:rFonts w:hint="eastAsia"/>
          <w:lang w:val="en-US"/>
        </w:rPr>
        <w:t>was</w:t>
      </w:r>
      <w:r>
        <w:rPr>
          <w:lang w:val="en-US"/>
        </w:rPr>
        <w:t xml:space="preserve"> </w:t>
      </w:r>
      <w:r>
        <w:rPr>
          <w:rFonts w:hint="eastAsia"/>
          <w:lang w:val="en-US"/>
        </w:rPr>
        <w:t>discussed</w:t>
      </w:r>
      <w:r>
        <w:rPr>
          <w:lang w:val="en-US"/>
        </w:rPr>
        <w:t xml:space="preserve"> </w:t>
      </w:r>
      <w:r>
        <w:rPr>
          <w:rFonts w:hint="eastAsia"/>
          <w:lang w:val="en-US"/>
        </w:rPr>
        <w:t>at</w:t>
      </w:r>
      <w:r>
        <w:rPr>
          <w:lang w:val="en-US"/>
        </w:rPr>
        <w:t xml:space="preserve"> RAN</w:t>
      </w:r>
      <w:r w:rsidR="0024528B">
        <w:rPr>
          <w:lang w:val="en-US"/>
        </w:rPr>
        <w:t>4</w:t>
      </w:r>
      <w:r>
        <w:rPr>
          <w:lang w:val="en-US"/>
        </w:rPr>
        <w:t xml:space="preserve"> </w:t>
      </w:r>
      <w:r>
        <w:rPr>
          <w:rFonts w:hint="eastAsia"/>
          <w:lang w:val="en-US"/>
        </w:rPr>
        <w:t>#</w:t>
      </w:r>
      <w:r>
        <w:rPr>
          <w:lang w:val="en-US"/>
        </w:rPr>
        <w:t>101</w:t>
      </w:r>
      <w:r>
        <w:rPr>
          <w:rFonts w:hint="eastAsia"/>
          <w:lang w:val="en-US"/>
        </w:rPr>
        <w:t>e.</w:t>
      </w:r>
      <w:r>
        <w:rPr>
          <w:lang w:val="en-US"/>
        </w:rPr>
        <w:t xml:space="preserve"> A WF [1] was duplicated as below:</w:t>
      </w:r>
    </w:p>
    <w:tbl>
      <w:tblPr>
        <w:tblStyle w:val="af"/>
        <w:tblW w:w="0" w:type="auto"/>
        <w:tblLook w:val="04A0" w:firstRow="1" w:lastRow="0" w:firstColumn="1" w:lastColumn="0" w:noHBand="0" w:noVBand="1"/>
      </w:tblPr>
      <w:tblGrid>
        <w:gridCol w:w="9631"/>
      </w:tblGrid>
      <w:tr w:rsidR="00E963EB" w14:paraId="48A5BFC6" w14:textId="77777777" w:rsidTr="00E963EB">
        <w:tc>
          <w:tcPr>
            <w:tcW w:w="9631" w:type="dxa"/>
          </w:tcPr>
          <w:p w14:paraId="28D5BFA2" w14:textId="77777777" w:rsidR="00C93307" w:rsidRDefault="00C93307" w:rsidP="00C93307">
            <w:pPr>
              <w:pStyle w:val="a8"/>
              <w:numPr>
                <w:ilvl w:val="0"/>
                <w:numId w:val="9"/>
              </w:numPr>
              <w:spacing w:before="120" w:after="120" w:line="480" w:lineRule="auto"/>
              <w:ind w:firstLineChars="0"/>
              <w:contextualSpacing/>
            </w:pPr>
            <w:r w:rsidRPr="00E6587A">
              <w:t>Active BWP switching delay requirements</w:t>
            </w:r>
          </w:p>
          <w:p w14:paraId="2B256AF7" w14:textId="77777777" w:rsidR="00C93307" w:rsidRDefault="00C93307" w:rsidP="00C93307">
            <w:pPr>
              <w:pStyle w:val="a8"/>
              <w:numPr>
                <w:ilvl w:val="1"/>
                <w:numId w:val="9"/>
              </w:numPr>
              <w:spacing w:before="120" w:after="240"/>
              <w:ind w:firstLineChars="0"/>
            </w:pPr>
            <w:r w:rsidRPr="009C66D6">
              <w:t xml:space="preserve">BWP </w:t>
            </w:r>
            <w:r>
              <w:t xml:space="preserve">switching </w:t>
            </w:r>
            <w:r w:rsidRPr="009C66D6">
              <w:t>delay reduction for 480/960kHz can be further discussed in R18 or later releases</w:t>
            </w:r>
          </w:p>
          <w:p w14:paraId="0CDA2BFA" w14:textId="7C623511" w:rsidR="00C93307" w:rsidRDefault="00C93307" w:rsidP="00C93307">
            <w:pPr>
              <w:pStyle w:val="a8"/>
              <w:numPr>
                <w:ilvl w:val="1"/>
                <w:numId w:val="9"/>
              </w:numPr>
              <w:spacing w:before="120" w:after="120"/>
              <w:ind w:firstLineChars="0"/>
              <w:contextualSpacing/>
            </w:pPr>
            <w:r w:rsidRPr="00F108DF">
              <w:t>RAN4 to further check whether FR2-2 BWP Switching on Multiple CCs can follow chapter 8.6.2A, chapter 8.6.2B and Chapter 8.6.3A in TS38.133</w:t>
            </w:r>
          </w:p>
          <w:p w14:paraId="39907227" w14:textId="200221DF" w:rsidR="007B3309" w:rsidRDefault="007B3309" w:rsidP="00C93307">
            <w:pPr>
              <w:pStyle w:val="a8"/>
              <w:numPr>
                <w:ilvl w:val="0"/>
                <w:numId w:val="9"/>
              </w:numPr>
              <w:spacing w:before="120" w:after="120" w:line="480" w:lineRule="auto"/>
              <w:ind w:firstLineChars="0"/>
              <w:contextualSpacing/>
            </w:pPr>
            <w:r w:rsidRPr="00E6587A">
              <w:t>Cross-carrier active BWP switching</w:t>
            </w:r>
          </w:p>
          <w:p w14:paraId="757807D9" w14:textId="77777777" w:rsidR="007B3309" w:rsidRDefault="007B3309" w:rsidP="00C93307">
            <w:pPr>
              <w:pStyle w:val="a8"/>
              <w:numPr>
                <w:ilvl w:val="1"/>
                <w:numId w:val="9"/>
              </w:numPr>
              <w:spacing w:before="120" w:after="240"/>
              <w:ind w:firstLineChars="0"/>
            </w:pPr>
            <w:r w:rsidRPr="00E6587A">
              <w:t>MRTD value should be considered for BWP switching delay definition in cross-carrier scheduling case.</w:t>
            </w:r>
          </w:p>
          <w:p w14:paraId="18D20D31" w14:textId="77777777" w:rsidR="007B3309" w:rsidRPr="00A56950" w:rsidRDefault="007B3309" w:rsidP="00C93307">
            <w:pPr>
              <w:pStyle w:val="a8"/>
              <w:numPr>
                <w:ilvl w:val="1"/>
                <w:numId w:val="9"/>
              </w:numPr>
              <w:spacing w:before="120" w:after="240"/>
              <w:ind w:firstLineChars="0"/>
            </w:pPr>
            <w:r w:rsidRPr="00A56950">
              <w:t xml:space="preserve">RAN4 to further discuss how to </w:t>
            </w:r>
            <w:r>
              <w:t xml:space="preserve">define </w:t>
            </w:r>
            <w:r w:rsidRPr="00A56950">
              <w:t>requirements for cross-carrier BWP switching considering the following questions:</w:t>
            </w:r>
          </w:p>
          <w:p w14:paraId="4D50BFEE" w14:textId="77777777" w:rsidR="007B3309" w:rsidRDefault="007B3309" w:rsidP="00C93307">
            <w:pPr>
              <w:pStyle w:val="a8"/>
              <w:numPr>
                <w:ilvl w:val="2"/>
                <w:numId w:val="9"/>
              </w:numPr>
              <w:spacing w:before="120" w:after="0"/>
              <w:ind w:firstLineChars="0"/>
            </w:pPr>
            <w:r w:rsidRPr="00A56950">
              <w:t>How to account MRTD in cross-carrier BWP switching delay</w:t>
            </w:r>
            <w:r>
              <w:t>:</w:t>
            </w:r>
          </w:p>
          <w:p w14:paraId="2DDFF0F8" w14:textId="77777777" w:rsidR="007B3309" w:rsidRDefault="007B3309" w:rsidP="00C93307">
            <w:pPr>
              <w:pStyle w:val="a8"/>
              <w:numPr>
                <w:ilvl w:val="3"/>
                <w:numId w:val="9"/>
              </w:numPr>
              <w:spacing w:after="0"/>
              <w:ind w:firstLineChars="0"/>
            </w:pPr>
            <w:r>
              <w:t xml:space="preserve">Option 1: </w:t>
            </w:r>
            <w:r w:rsidRPr="00A56950">
              <w:t>Several slots according to the MRTD length</w:t>
            </w:r>
          </w:p>
          <w:p w14:paraId="032C15F7" w14:textId="77777777" w:rsidR="007B3309" w:rsidRDefault="007B3309" w:rsidP="00C93307">
            <w:pPr>
              <w:pStyle w:val="a8"/>
              <w:numPr>
                <w:ilvl w:val="3"/>
                <w:numId w:val="9"/>
              </w:numPr>
              <w:spacing w:after="0"/>
              <w:ind w:firstLineChars="0"/>
            </w:pPr>
            <w:r>
              <w:t xml:space="preserve">Option 2: </w:t>
            </w:r>
            <w:r w:rsidRPr="00F108DF">
              <w:t>1 slot to reserve misalignment in case of asynchronous between two carriers</w:t>
            </w:r>
          </w:p>
          <w:p w14:paraId="4D535D3A" w14:textId="77777777" w:rsidR="007B3309" w:rsidRDefault="007B3309" w:rsidP="00C93307">
            <w:pPr>
              <w:pStyle w:val="a8"/>
              <w:numPr>
                <w:ilvl w:val="3"/>
                <w:numId w:val="9"/>
              </w:numPr>
              <w:spacing w:after="120"/>
              <w:ind w:firstLineChars="0"/>
            </w:pPr>
            <w:r>
              <w:t>Other options are not precluded</w:t>
            </w:r>
          </w:p>
          <w:p w14:paraId="122C5244" w14:textId="77777777" w:rsidR="007B3309" w:rsidRDefault="007B3309" w:rsidP="00C93307">
            <w:pPr>
              <w:pStyle w:val="a8"/>
              <w:numPr>
                <w:ilvl w:val="2"/>
                <w:numId w:val="9"/>
              </w:numPr>
              <w:spacing w:before="120" w:after="240"/>
              <w:ind w:firstLineChars="0"/>
              <w:contextualSpacing/>
            </w:pPr>
            <w:r w:rsidRPr="00A56950">
              <w:t>How to consider additional margin for cross-carrier scheduling</w:t>
            </w:r>
          </w:p>
          <w:p w14:paraId="495CBD2A" w14:textId="77777777" w:rsidR="007B3309" w:rsidRDefault="007B3309" w:rsidP="00C93307">
            <w:pPr>
              <w:pStyle w:val="a8"/>
              <w:numPr>
                <w:ilvl w:val="3"/>
                <w:numId w:val="9"/>
              </w:numPr>
              <w:spacing w:before="120" w:after="120"/>
              <w:ind w:firstLineChars="0"/>
              <w:contextualSpacing/>
            </w:pPr>
            <w:r>
              <w:t>Option 1: Any option of previous question covers the margin as c</w:t>
            </w:r>
            <w:r w:rsidRPr="00357ACA">
              <w:t>eiling to the integer number</w:t>
            </w:r>
            <w:r>
              <w:t xml:space="preserve"> provides </w:t>
            </w:r>
            <w:r w:rsidRPr="00357ACA">
              <w:t>additional time for cross-carrier processing</w:t>
            </w:r>
          </w:p>
          <w:p w14:paraId="05D1D285" w14:textId="77777777" w:rsidR="007B3309" w:rsidRDefault="007B3309" w:rsidP="00C93307">
            <w:pPr>
              <w:pStyle w:val="a8"/>
              <w:numPr>
                <w:ilvl w:val="3"/>
                <w:numId w:val="9"/>
              </w:numPr>
              <w:spacing w:before="120" w:after="120"/>
              <w:ind w:firstLineChars="0"/>
              <w:contextualSpacing/>
            </w:pPr>
            <w:r w:rsidRPr="00887525">
              <w:t xml:space="preserve">Option </w:t>
            </w:r>
            <w:r>
              <w:t>2</w:t>
            </w:r>
            <w:r w:rsidRPr="00887525">
              <w:t>: 1 slot of 120 kHz when both scheduling carrier and scheduled carrier are in FR2-2</w:t>
            </w:r>
            <w:r>
              <w:t xml:space="preserve"> (aligned with Option 2 of the previous question)</w:t>
            </w:r>
          </w:p>
          <w:p w14:paraId="5D85FF1F" w14:textId="77777777" w:rsidR="007B3309" w:rsidRDefault="007B3309" w:rsidP="00C93307">
            <w:pPr>
              <w:pStyle w:val="a8"/>
              <w:numPr>
                <w:ilvl w:val="3"/>
                <w:numId w:val="9"/>
              </w:numPr>
              <w:spacing w:after="120"/>
              <w:ind w:firstLineChars="0"/>
            </w:pPr>
            <w:r>
              <w:t>Other options are not precluded</w:t>
            </w:r>
          </w:p>
          <w:p w14:paraId="78993B0C" w14:textId="77777777" w:rsidR="007B3309" w:rsidRDefault="007B3309" w:rsidP="00C93307">
            <w:pPr>
              <w:pStyle w:val="a8"/>
              <w:numPr>
                <w:ilvl w:val="2"/>
                <w:numId w:val="9"/>
              </w:numPr>
              <w:spacing w:before="120" w:after="240"/>
              <w:ind w:firstLineChars="0"/>
              <w:contextualSpacing/>
            </w:pPr>
            <w:r>
              <w:t>How</w:t>
            </w:r>
            <w:r w:rsidRPr="00A56950">
              <w:t xml:space="preserve"> to consider different SCS between scheduling cell and scheduled cell for cross-carrier BWP switching delay</w:t>
            </w:r>
            <w:r>
              <w:t>:</w:t>
            </w:r>
          </w:p>
          <w:p w14:paraId="297B460E" w14:textId="77777777" w:rsidR="007B3309" w:rsidRDefault="007B3309" w:rsidP="00C93307">
            <w:pPr>
              <w:pStyle w:val="a8"/>
              <w:numPr>
                <w:ilvl w:val="3"/>
                <w:numId w:val="9"/>
              </w:numPr>
              <w:spacing w:after="0"/>
              <w:ind w:firstLineChars="0"/>
            </w:pPr>
            <w:r>
              <w:t>Option 1: the delay requirements to be defined considering the SCS of scheduled cell</w:t>
            </w:r>
          </w:p>
          <w:p w14:paraId="293A9D00" w14:textId="3BB416DC" w:rsidR="00E963EB" w:rsidRPr="0066221D" w:rsidRDefault="007B3309" w:rsidP="00C93307">
            <w:pPr>
              <w:pStyle w:val="a8"/>
              <w:numPr>
                <w:ilvl w:val="3"/>
                <w:numId w:val="9"/>
              </w:numPr>
              <w:spacing w:after="120"/>
              <w:ind w:firstLineChars="0"/>
            </w:pPr>
            <w:r>
              <w:t>Option 2:</w:t>
            </w:r>
            <w:r w:rsidRPr="00F108DF">
              <w:t xml:space="preserve"> keep current assumption which says “</w:t>
            </w:r>
            <w:proofErr w:type="spellStart"/>
            <w:r w:rsidRPr="00F108DF">
              <w:t>T</w:t>
            </w:r>
            <w:r w:rsidRPr="00F108DF">
              <w:rPr>
                <w:vertAlign w:val="subscript"/>
              </w:rPr>
              <w:t>BWPswitchDelay</w:t>
            </w:r>
            <w:proofErr w:type="spellEnd"/>
            <w:r w:rsidRPr="00F108DF">
              <w:t xml:space="preserve"> + Y shall follow the smaller SCS of scheduling cell, scheduled cells before and scheduled cells after active BWP change</w:t>
            </w:r>
            <w:r>
              <w:t>”</w:t>
            </w:r>
          </w:p>
        </w:tc>
      </w:tr>
    </w:tbl>
    <w:p w14:paraId="1D7A07CF" w14:textId="6578629D" w:rsidR="0066221D" w:rsidRDefault="0066221D" w:rsidP="00B928A8">
      <w:pPr>
        <w:spacing w:before="100" w:beforeAutospacing="1" w:afterLines="50" w:after="120"/>
        <w:jc w:val="both"/>
        <w:rPr>
          <w:lang w:val="en-US"/>
        </w:rPr>
      </w:pPr>
      <w:r>
        <w:rPr>
          <w:rFonts w:hint="eastAsia"/>
          <w:lang w:val="en-US"/>
        </w:rPr>
        <w:t>I</w:t>
      </w:r>
      <w:r>
        <w:rPr>
          <w:lang w:val="en-US"/>
        </w:rPr>
        <w:t>n this paper, we further discuss th</w:t>
      </w:r>
      <w:r w:rsidR="00BD0E1A">
        <w:rPr>
          <w:lang w:val="en-US"/>
        </w:rPr>
        <w:t>e issue on cross-carrier active BWP switching delay.</w:t>
      </w:r>
    </w:p>
    <w:p w14:paraId="53A51171" w14:textId="5E9AC822" w:rsidR="00190226" w:rsidRDefault="00174A69" w:rsidP="00190226">
      <w:pPr>
        <w:pStyle w:val="1"/>
        <w:spacing w:after="240"/>
        <w:jc w:val="both"/>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14:paraId="04D979FE" w14:textId="167BCF5E" w:rsidR="004D1BAF" w:rsidRDefault="00190226" w:rsidP="004D1BAF">
      <w:pPr>
        <w:jc w:val="both"/>
      </w:pPr>
      <w:r>
        <w:rPr>
          <w:rFonts w:hint="eastAsia"/>
        </w:rPr>
        <w:t>I</w:t>
      </w:r>
      <w:r>
        <w:t>n the existing requirements,</w:t>
      </w:r>
      <w:r w:rsidR="004D1BAF">
        <w:t xml:space="preserve"> </w:t>
      </w:r>
      <w:r w:rsidR="004D1BAF">
        <w:rPr>
          <w:lang w:val="en-US"/>
        </w:rPr>
        <w:t xml:space="preserve">cross-carrier active BWP switching delay is the sum of </w:t>
      </w:r>
      <w:proofErr w:type="spellStart"/>
      <w:r w:rsidR="004D1BAF" w:rsidRPr="009C5807">
        <w:t>T</w:t>
      </w:r>
      <w:r w:rsidR="004D1BAF" w:rsidRPr="009C5807">
        <w:rPr>
          <w:vertAlign w:val="subscript"/>
        </w:rPr>
        <w:t>BWPswitchDelay</w:t>
      </w:r>
      <w:proofErr w:type="spellEnd"/>
      <w:r w:rsidR="004D1BAF">
        <w:rPr>
          <w:vertAlign w:val="subscript"/>
        </w:rPr>
        <w:t xml:space="preserve"> </w:t>
      </w:r>
      <w:r w:rsidR="004D1BAF">
        <w:t>and Y which equals to the length of 1 slot of the smaller SCS of scheduling cell, scheduled cells and scheduled cells after active BWP change.</w:t>
      </w:r>
      <w:r w:rsidR="00F35D68">
        <w:t xml:space="preserve"> And we reviewed the past discussion on cross carrier scheduling, an agreement </w:t>
      </w:r>
      <w:r w:rsidR="00577166">
        <w:t xml:space="preserve">[2] </w:t>
      </w:r>
      <w:r w:rsidR="00F35D68">
        <w:t>in the RAN4 #96e was duplicated as below:</w:t>
      </w:r>
    </w:p>
    <w:tbl>
      <w:tblPr>
        <w:tblStyle w:val="af"/>
        <w:tblW w:w="0" w:type="auto"/>
        <w:tblLook w:val="04A0" w:firstRow="1" w:lastRow="0" w:firstColumn="1" w:lastColumn="0" w:noHBand="0" w:noVBand="1"/>
      </w:tblPr>
      <w:tblGrid>
        <w:gridCol w:w="9631"/>
      </w:tblGrid>
      <w:tr w:rsidR="00F35D68" w14:paraId="38CA37DF" w14:textId="77777777" w:rsidTr="00F35D68">
        <w:tc>
          <w:tcPr>
            <w:tcW w:w="9631" w:type="dxa"/>
          </w:tcPr>
          <w:p w14:paraId="1E9EA243" w14:textId="77777777" w:rsidR="00F35D68" w:rsidRPr="00F35D68" w:rsidRDefault="00F35D68" w:rsidP="00F35D68">
            <w:pPr>
              <w:jc w:val="both"/>
              <w:rPr>
                <w:lang w:val="en-US"/>
              </w:rPr>
            </w:pPr>
            <w:r w:rsidRPr="00F35D68">
              <w:rPr>
                <w:lang w:val="sv-SE"/>
              </w:rPr>
              <w:lastRenderedPageBreak/>
              <w:t xml:space="preserve">Agreement: </w:t>
            </w:r>
          </w:p>
          <w:p w14:paraId="46C3B929" w14:textId="77777777" w:rsidR="00F35D68" w:rsidRPr="00F35D68" w:rsidRDefault="00F35D68" w:rsidP="00F35D68">
            <w:pPr>
              <w:numPr>
                <w:ilvl w:val="1"/>
                <w:numId w:val="11"/>
              </w:numPr>
              <w:jc w:val="both"/>
              <w:rPr>
                <w:lang w:val="en-US"/>
              </w:rPr>
            </w:pPr>
            <w:r w:rsidRPr="00F35D68">
              <w:t xml:space="preserve">Additional [1] slot relaxation is applied to compensate for cross carrier scheduling </w:t>
            </w:r>
          </w:p>
          <w:p w14:paraId="1F847D5E" w14:textId="04ABF52A" w:rsidR="00F35D68" w:rsidRPr="00F35D68" w:rsidRDefault="00F35D68" w:rsidP="004D1BAF">
            <w:pPr>
              <w:numPr>
                <w:ilvl w:val="2"/>
                <w:numId w:val="11"/>
              </w:numPr>
              <w:jc w:val="both"/>
              <w:rPr>
                <w:lang w:val="en-US"/>
              </w:rPr>
            </w:pPr>
            <w:r w:rsidRPr="00F35D68">
              <w:t xml:space="preserve">In case SCS differs between </w:t>
            </w:r>
            <w:proofErr w:type="spellStart"/>
            <w:r w:rsidRPr="00F35D68">
              <w:t>spCell</w:t>
            </w:r>
            <w:proofErr w:type="spellEnd"/>
            <w:r w:rsidRPr="00F35D68">
              <w:t xml:space="preserve"> and </w:t>
            </w:r>
            <w:proofErr w:type="spellStart"/>
            <w:r w:rsidRPr="00F35D68">
              <w:t>SCell</w:t>
            </w:r>
            <w:proofErr w:type="spellEnd"/>
            <w:r w:rsidRPr="00F35D68">
              <w:t>, the smaller SCS applies.</w:t>
            </w:r>
          </w:p>
        </w:tc>
      </w:tr>
    </w:tbl>
    <w:p w14:paraId="5EB01008" w14:textId="5DC7C7DC" w:rsidR="00DB6297" w:rsidRDefault="009407D8" w:rsidP="004D1BAF">
      <w:pPr>
        <w:jc w:val="both"/>
      </w:pPr>
      <w:r>
        <w:t>It can be seen that compared with self-scheduling, the cross-carrier scheduling need addition 1 slot relaxation.</w:t>
      </w:r>
      <w:r w:rsidR="004537A7">
        <w:t xml:space="preserve"> </w:t>
      </w:r>
      <w:r w:rsidR="0045141D">
        <w:t xml:space="preserve">In our understanding, the addition 1 slot </w:t>
      </w:r>
      <w:r w:rsidR="006A1AAD">
        <w:t>has covered the time including MRTD and cross carrier scheduling processing time.</w:t>
      </w:r>
      <w:r w:rsidR="004537A7">
        <w:t xml:space="preserve"> </w:t>
      </w:r>
    </w:p>
    <w:p w14:paraId="7ED947C1" w14:textId="069442FD" w:rsidR="005504F6" w:rsidRDefault="006A1AAD" w:rsidP="004D1BAF">
      <w:pPr>
        <w:jc w:val="both"/>
      </w:pPr>
      <w:r>
        <w:t xml:space="preserve">For FR2-2, we see the key issue is whether 1 slot of smaller SCS is feasible to cover the time. </w:t>
      </w:r>
      <w:r w:rsidR="00C54FC3">
        <w:t>We consider the worst case</w:t>
      </w:r>
      <w:r>
        <w:t>,</w:t>
      </w:r>
      <w:r w:rsidR="00372E83">
        <w:t xml:space="preserve"> e.g., </w:t>
      </w:r>
      <w:r w:rsidR="00C54FC3">
        <w:t>when 960kHz on CC1 is scheduling 960kHz on CC2, Y = 15.625us based on ‘</w:t>
      </w:r>
      <w:r w:rsidR="00C54FC3" w:rsidRPr="00C54FC3">
        <w:t xml:space="preserve">Y equals to the length of 1 slot of </w:t>
      </w:r>
      <w:r w:rsidR="00C54FC3">
        <w:t>960</w:t>
      </w:r>
      <w:r w:rsidR="00C54FC3" w:rsidRPr="00C54FC3">
        <w:t>kHz</w:t>
      </w:r>
      <w:r w:rsidR="00C54FC3">
        <w:t>’ according to the existing requirements.</w:t>
      </w:r>
      <w:r w:rsidR="00372E83">
        <w:t xml:space="preserve"> If reusing the MRTD of FR2-1 for FR2-2, e.g., 8us, the cross</w:t>
      </w:r>
      <w:r w:rsidR="001C6F3F">
        <w:t>-</w:t>
      </w:r>
      <w:r w:rsidR="00372E83">
        <w:t xml:space="preserve">carrier scheduling processing time may </w:t>
      </w:r>
      <w:r w:rsidR="00DB6297">
        <w:t>be only about 7us left</w:t>
      </w:r>
      <w:r w:rsidR="00297E0A">
        <w:t xml:space="preserve"> which may not be enough for UE implementation. </w:t>
      </w:r>
      <w:r w:rsidR="00DB6297">
        <w:t>Therefore,</w:t>
      </w:r>
      <w:r w:rsidR="00297E0A">
        <w:t xml:space="preserve"> </w:t>
      </w:r>
      <w:r w:rsidR="004537A7">
        <w:t>as some companies mentioned in the last meeting,</w:t>
      </w:r>
      <w:r w:rsidR="004537A7">
        <w:rPr>
          <w:rFonts w:hint="eastAsia"/>
        </w:rPr>
        <w:t xml:space="preserve"> </w:t>
      </w:r>
      <w:r w:rsidR="00BB724D">
        <w:t>it may be reasonable to make Y equals to the length of 1 slot of 120kHz for FR2-2</w:t>
      </w:r>
      <w:r w:rsidR="005504F6">
        <w:t xml:space="preserve"> and the existing requirements need to be modified.</w:t>
      </w:r>
    </w:p>
    <w:p w14:paraId="2D79D6AA" w14:textId="6FD932E4" w:rsidR="005504F6" w:rsidRPr="005504F6" w:rsidRDefault="005504F6" w:rsidP="004D1BAF">
      <w:pPr>
        <w:jc w:val="both"/>
        <w:rPr>
          <w:b/>
          <w:bCs/>
        </w:rPr>
      </w:pPr>
      <w:r w:rsidRPr="005504F6">
        <w:rPr>
          <w:b/>
          <w:bCs/>
        </w:rPr>
        <w:t xml:space="preserve">Proposal 1: </w:t>
      </w:r>
      <w:r w:rsidR="00352E0A">
        <w:rPr>
          <w:b/>
          <w:bCs/>
        </w:rPr>
        <w:t>T</w:t>
      </w:r>
      <w:r w:rsidRPr="005504F6">
        <w:rPr>
          <w:b/>
          <w:bCs/>
        </w:rPr>
        <w:t xml:space="preserve">he active BWP switching delay requirements </w:t>
      </w:r>
      <w:r w:rsidR="001A008A">
        <w:rPr>
          <w:b/>
          <w:bCs/>
        </w:rPr>
        <w:t xml:space="preserve">for </w:t>
      </w:r>
      <w:r w:rsidR="001A008A" w:rsidRPr="001A008A">
        <w:rPr>
          <w:b/>
          <w:bCs/>
        </w:rPr>
        <w:t>cross-carrier scheduling</w:t>
      </w:r>
      <w:r w:rsidR="001A008A" w:rsidRPr="005504F6">
        <w:rPr>
          <w:b/>
          <w:bCs/>
        </w:rPr>
        <w:t xml:space="preserve"> </w:t>
      </w:r>
      <w:r w:rsidRPr="005504F6">
        <w:rPr>
          <w:b/>
          <w:bCs/>
        </w:rPr>
        <w:t xml:space="preserve">for FR2-2 </w:t>
      </w:r>
      <w:r w:rsidR="00352E0A">
        <w:rPr>
          <w:b/>
          <w:bCs/>
        </w:rPr>
        <w:t xml:space="preserve">should </w:t>
      </w:r>
      <w:r w:rsidR="00352E0A">
        <w:rPr>
          <w:rFonts w:hint="eastAsia"/>
          <w:b/>
          <w:bCs/>
        </w:rPr>
        <w:t>be</w:t>
      </w:r>
      <w:r w:rsidR="00352E0A">
        <w:rPr>
          <w:b/>
          <w:bCs/>
        </w:rPr>
        <w:t xml:space="preserve"> </w:t>
      </w:r>
      <w:r w:rsidR="00352E0A">
        <w:rPr>
          <w:rFonts w:hint="eastAsia"/>
          <w:b/>
          <w:bCs/>
        </w:rPr>
        <w:t>updated</w:t>
      </w:r>
      <w:r w:rsidR="00352E0A">
        <w:rPr>
          <w:b/>
          <w:bCs/>
        </w:rPr>
        <w:t xml:space="preserve"> </w:t>
      </w:r>
      <w:r w:rsidRPr="005504F6">
        <w:rPr>
          <w:b/>
          <w:bCs/>
        </w:rPr>
        <w:t>as below:</w:t>
      </w:r>
    </w:p>
    <w:tbl>
      <w:tblPr>
        <w:tblStyle w:val="af"/>
        <w:tblW w:w="0" w:type="auto"/>
        <w:tblLook w:val="04A0" w:firstRow="1" w:lastRow="0" w:firstColumn="1" w:lastColumn="0" w:noHBand="0" w:noVBand="1"/>
      </w:tblPr>
      <w:tblGrid>
        <w:gridCol w:w="9631"/>
      </w:tblGrid>
      <w:tr w:rsidR="00175748" w14:paraId="6054B6A1" w14:textId="77777777" w:rsidTr="00175748">
        <w:tc>
          <w:tcPr>
            <w:tcW w:w="9631" w:type="dxa"/>
          </w:tcPr>
          <w:p w14:paraId="0A0F63FF" w14:textId="7B370424" w:rsidR="00175748" w:rsidRPr="005504F6" w:rsidRDefault="00175748" w:rsidP="00175748">
            <w:pPr>
              <w:rPr>
                <w:b/>
                <w:bCs/>
              </w:rPr>
            </w:pPr>
            <w:r w:rsidRPr="005504F6">
              <w:rPr>
                <w:b/>
                <w:bCs/>
                <w:lang w:val="en-US"/>
              </w:rPr>
              <w:t xml:space="preserve">For DCI-based BWP switch, </w:t>
            </w:r>
            <w:r w:rsidRPr="005504F6">
              <w:rPr>
                <w:b/>
                <w:bCs/>
              </w:rPr>
              <w:t xml:space="preserve">after the UE receives BWP switching request at DL slot n </w:t>
            </w:r>
            <w:r w:rsidRPr="005504F6">
              <w:rPr>
                <w:b/>
                <w:bCs/>
                <w:lang w:val="en-US"/>
              </w:rPr>
              <w:t>on a serving cell</w:t>
            </w:r>
            <w:r w:rsidRPr="005504F6">
              <w:rPr>
                <w:b/>
                <w:bCs/>
              </w:rPr>
              <w:t xml:space="preserve">, UE shall be </w:t>
            </w:r>
            <w:r w:rsidRPr="005504F6">
              <w:rPr>
                <w:b/>
                <w:bCs/>
                <w:lang w:val="en-US"/>
              </w:rPr>
              <w:t>able to receive PDSCH (for DL active BWP switch) or transmit PUSCH (for UL active BWP switch) on the new BWP on the serving cell</w:t>
            </w:r>
            <w:r w:rsidRPr="005504F6">
              <w:rPr>
                <w:b/>
                <w:bCs/>
              </w:rPr>
              <w:t xml:space="preserve"> </w:t>
            </w:r>
            <w:r w:rsidRPr="005504F6">
              <w:rPr>
                <w:b/>
                <w:bCs/>
                <w:lang w:val="en-US"/>
              </w:rPr>
              <w:t xml:space="preserve">on which BWP switch </w:t>
            </w:r>
            <w:r w:rsidRPr="005504F6">
              <w:rPr>
                <w:b/>
                <w:bCs/>
              </w:rPr>
              <w:t xml:space="preserve">on the first DL or UL slot </w:t>
            </w:r>
            <w:r w:rsidRPr="005504F6">
              <w:rPr>
                <w:b/>
                <w:bCs/>
                <w:lang w:val="en-US"/>
              </w:rPr>
              <w:t>occurs</w:t>
            </w:r>
            <w:r w:rsidRPr="005504F6">
              <w:rPr>
                <w:b/>
                <w:bCs/>
              </w:rPr>
              <w:t xml:space="preserve"> right after a time duration of </w:t>
            </w:r>
            <w:proofErr w:type="spellStart"/>
            <w:r w:rsidRPr="005504F6">
              <w:rPr>
                <w:b/>
                <w:bCs/>
              </w:rPr>
              <w:t>T</w:t>
            </w:r>
            <w:r w:rsidRPr="005504F6">
              <w:rPr>
                <w:b/>
                <w:bCs/>
                <w:vertAlign w:val="subscript"/>
              </w:rPr>
              <w:t>BWPswitchDelay</w:t>
            </w:r>
            <w:proofErr w:type="spellEnd"/>
            <w:r w:rsidRPr="005504F6">
              <w:rPr>
                <w:b/>
                <w:bCs/>
              </w:rPr>
              <w:t xml:space="preserve"> + Y which starts from the beginning of DL slot n. </w:t>
            </w:r>
            <w:proofErr w:type="gramStart"/>
            <w:r w:rsidRPr="005504F6">
              <w:rPr>
                <w:b/>
                <w:bCs/>
              </w:rPr>
              <w:t>Where</w:t>
            </w:r>
            <w:proofErr w:type="gramEnd"/>
            <w:r w:rsidRPr="005504F6">
              <w:rPr>
                <w:b/>
                <w:bCs/>
              </w:rPr>
              <w:t>,</w:t>
            </w:r>
          </w:p>
          <w:p w14:paraId="08A6E0C7" w14:textId="370688DC" w:rsidR="00A16445" w:rsidRPr="005504F6" w:rsidRDefault="00A16445" w:rsidP="00175748">
            <w:pPr>
              <w:rPr>
                <w:b/>
                <w:bCs/>
              </w:rPr>
            </w:pPr>
            <w:r w:rsidRPr="005504F6">
              <w:rPr>
                <w:rFonts w:hint="eastAsia"/>
                <w:b/>
                <w:bCs/>
                <w:highlight w:val="yellow"/>
              </w:rPr>
              <w:t>F</w:t>
            </w:r>
            <w:r w:rsidRPr="005504F6">
              <w:rPr>
                <w:b/>
                <w:bCs/>
                <w:highlight w:val="yellow"/>
              </w:rPr>
              <w:t xml:space="preserve">or </w:t>
            </w:r>
            <w:r w:rsidR="00496BF4">
              <w:rPr>
                <w:b/>
                <w:bCs/>
                <w:highlight w:val="yellow"/>
              </w:rPr>
              <w:t xml:space="preserve">FR1 and </w:t>
            </w:r>
            <w:r w:rsidRPr="005504F6">
              <w:rPr>
                <w:b/>
                <w:bCs/>
                <w:highlight w:val="yellow"/>
              </w:rPr>
              <w:t>FR2-1,</w:t>
            </w:r>
          </w:p>
          <w:p w14:paraId="0B7BE589" w14:textId="77777777" w:rsidR="00175748" w:rsidRPr="005504F6" w:rsidRDefault="00175748" w:rsidP="00175748">
            <w:pPr>
              <w:pStyle w:val="B1"/>
              <w:rPr>
                <w:b/>
                <w:bCs/>
              </w:rPr>
            </w:pPr>
            <w:r w:rsidRPr="005504F6">
              <w:rPr>
                <w:b/>
                <w:bCs/>
              </w:rPr>
              <w:t>-</w:t>
            </w:r>
            <w:r w:rsidRPr="005504F6">
              <w:rPr>
                <w:b/>
                <w:bCs/>
              </w:rPr>
              <w:tab/>
              <w:t>Y=0, if the serving cell where UE receives DCI for BWP switch request is same as the serving cell on which BWP switch occurs.</w:t>
            </w:r>
          </w:p>
          <w:p w14:paraId="445A4929" w14:textId="77777777" w:rsidR="00175748" w:rsidRPr="005504F6" w:rsidRDefault="00175748" w:rsidP="00A16445">
            <w:pPr>
              <w:pStyle w:val="B1"/>
              <w:rPr>
                <w:b/>
                <w:bCs/>
              </w:rPr>
            </w:pPr>
            <w:r w:rsidRPr="005504F6">
              <w:rPr>
                <w:b/>
                <w:bCs/>
              </w:rPr>
              <w:t>-</w:t>
            </w:r>
            <w:r w:rsidRPr="005504F6">
              <w:rPr>
                <w:b/>
                <w:bCs/>
              </w:rPr>
              <w:tab/>
              <w:t>Y</w:t>
            </w:r>
            <w:r w:rsidRPr="005504F6">
              <w:rPr>
                <w:b/>
                <w:bCs/>
                <w:lang w:val="en-US" w:eastAsia="zh-CN"/>
              </w:rPr>
              <w:t xml:space="preserve"> equals to the length of 1 slot</w:t>
            </w:r>
            <w:r w:rsidRPr="005504F6">
              <w:rPr>
                <w:b/>
                <w:bCs/>
              </w:rPr>
              <w:t xml:space="preserve">, if the serving cell where UE receives DCI for BWP switch is different from the serving cell on which BWP switch occurs for any involved serving cell. In this scenario, </w:t>
            </w:r>
            <w:proofErr w:type="spellStart"/>
            <w:r w:rsidRPr="005504F6">
              <w:rPr>
                <w:b/>
                <w:bCs/>
              </w:rPr>
              <w:t>T</w:t>
            </w:r>
            <w:r w:rsidRPr="005504F6">
              <w:rPr>
                <w:b/>
                <w:bCs/>
                <w:vertAlign w:val="subscript"/>
              </w:rPr>
              <w:t>BWPswitchDelay</w:t>
            </w:r>
            <w:proofErr w:type="spellEnd"/>
            <w:r w:rsidRPr="005504F6">
              <w:rPr>
                <w:b/>
                <w:bCs/>
              </w:rPr>
              <w:t xml:space="preserve"> + Y shall follow the smaller SCS of scheduling cell, scheduled cells before and scheduled cells after active BWP change.</w:t>
            </w:r>
          </w:p>
          <w:p w14:paraId="56B58229" w14:textId="1EA8A0F3" w:rsidR="00A16445" w:rsidRPr="005504F6" w:rsidRDefault="00A16445" w:rsidP="00A16445">
            <w:pPr>
              <w:rPr>
                <w:b/>
                <w:bCs/>
                <w:highlight w:val="yellow"/>
              </w:rPr>
            </w:pPr>
            <w:r w:rsidRPr="005504F6">
              <w:rPr>
                <w:rFonts w:hint="eastAsia"/>
                <w:b/>
                <w:bCs/>
                <w:highlight w:val="yellow"/>
              </w:rPr>
              <w:t>F</w:t>
            </w:r>
            <w:r w:rsidRPr="005504F6">
              <w:rPr>
                <w:b/>
                <w:bCs/>
                <w:highlight w:val="yellow"/>
              </w:rPr>
              <w:t>or FR2-2,</w:t>
            </w:r>
          </w:p>
          <w:p w14:paraId="0C4F37B0" w14:textId="77777777" w:rsidR="00A16445" w:rsidRPr="005504F6" w:rsidRDefault="00A16445" w:rsidP="00A16445">
            <w:pPr>
              <w:pStyle w:val="B1"/>
              <w:rPr>
                <w:b/>
                <w:bCs/>
                <w:highlight w:val="yellow"/>
              </w:rPr>
            </w:pPr>
            <w:r w:rsidRPr="005504F6">
              <w:rPr>
                <w:b/>
                <w:bCs/>
                <w:highlight w:val="yellow"/>
              </w:rPr>
              <w:t>-</w:t>
            </w:r>
            <w:r w:rsidRPr="005504F6">
              <w:rPr>
                <w:b/>
                <w:bCs/>
                <w:highlight w:val="yellow"/>
              </w:rPr>
              <w:tab/>
              <w:t>Y=0, if the serving cell where UE receives DCI for BWP switch request is same as the serving cell on which BWP switch occurs.</w:t>
            </w:r>
          </w:p>
          <w:p w14:paraId="0CDB9E4D" w14:textId="47FEDCB2" w:rsidR="00A16445" w:rsidRPr="00175748" w:rsidRDefault="00A16445" w:rsidP="00A16445">
            <w:pPr>
              <w:pStyle w:val="B1"/>
              <w:ind w:leftChars="150" w:left="501" w:hangingChars="100" w:hanging="201"/>
              <w:rPr>
                <w:lang w:val="en-US" w:eastAsia="zh-CN"/>
              </w:rPr>
            </w:pPr>
            <w:r w:rsidRPr="005504F6">
              <w:rPr>
                <w:b/>
                <w:bCs/>
                <w:highlight w:val="yellow"/>
              </w:rPr>
              <w:t>-</w:t>
            </w:r>
            <w:r w:rsidRPr="005504F6">
              <w:rPr>
                <w:b/>
                <w:bCs/>
                <w:highlight w:val="yellow"/>
              </w:rPr>
              <w:tab/>
              <w:t>Y</w:t>
            </w:r>
            <w:r w:rsidRPr="005504F6">
              <w:rPr>
                <w:b/>
                <w:bCs/>
                <w:highlight w:val="yellow"/>
                <w:lang w:val="en-US" w:eastAsia="zh-CN"/>
              </w:rPr>
              <w:t xml:space="preserve"> equals to the length of 1 slot</w:t>
            </w:r>
            <w:r w:rsidRPr="005504F6">
              <w:rPr>
                <w:b/>
                <w:bCs/>
                <w:highlight w:val="yellow"/>
              </w:rPr>
              <w:t xml:space="preserve">, if the serving cell where UE receives DCI for BWP switch is different from the serving cell on which BWP switch occurs for any involved serving cell. In this scenario, </w:t>
            </w:r>
            <w:proofErr w:type="spellStart"/>
            <w:r w:rsidRPr="005504F6">
              <w:rPr>
                <w:b/>
                <w:bCs/>
                <w:highlight w:val="yellow"/>
              </w:rPr>
              <w:t>T</w:t>
            </w:r>
            <w:r w:rsidRPr="005504F6">
              <w:rPr>
                <w:b/>
                <w:bCs/>
                <w:highlight w:val="yellow"/>
                <w:vertAlign w:val="subscript"/>
              </w:rPr>
              <w:t>BWPswitchDelay</w:t>
            </w:r>
            <w:proofErr w:type="spellEnd"/>
            <w:r w:rsidRPr="005504F6">
              <w:rPr>
                <w:b/>
                <w:bCs/>
                <w:highlight w:val="yellow"/>
              </w:rPr>
              <w:t xml:space="preserve"> + Y shall follow the 120kHz SCS.</w:t>
            </w:r>
          </w:p>
        </w:tc>
      </w:tr>
    </w:tbl>
    <w:p w14:paraId="0E33B64C" w14:textId="65DCF917" w:rsidR="00BB724D" w:rsidRDefault="00BB724D" w:rsidP="004D1BAF">
      <w:pPr>
        <w:jc w:val="both"/>
      </w:pPr>
    </w:p>
    <w:p w14:paraId="6C6C96FE" w14:textId="1CE96C59" w:rsidR="00577166" w:rsidRDefault="005504F6" w:rsidP="001A008A">
      <w:pPr>
        <w:jc w:val="both"/>
      </w:pPr>
      <w:r>
        <w:rPr>
          <w:rFonts w:hint="eastAsia"/>
        </w:rPr>
        <w:t>I</w:t>
      </w:r>
      <w:r>
        <w:t>n addition,</w:t>
      </w:r>
      <w:r w:rsidR="00496BF4">
        <w:t xml:space="preserve"> for the case of dormant BWP, the same rules should be followed. In the existing requirements, </w:t>
      </w:r>
      <w:r w:rsidR="004415BF">
        <w:t xml:space="preserve">when one of the two BWPs in a BWP switching is a dormant BWP, the BWP switching delay is the sum of </w:t>
      </w:r>
      <w:proofErr w:type="spellStart"/>
      <w:r w:rsidR="004415BF" w:rsidRPr="009C5807">
        <w:t>T</w:t>
      </w:r>
      <w:r w:rsidR="004415BF" w:rsidRPr="009C5807">
        <w:rPr>
          <w:vertAlign w:val="subscript"/>
        </w:rPr>
        <w:t>BWPswitchDelay</w:t>
      </w:r>
      <w:proofErr w:type="spellEnd"/>
      <w:r w:rsidR="004415BF">
        <w:rPr>
          <w:vertAlign w:val="subscript"/>
        </w:rPr>
        <w:t xml:space="preserve"> </w:t>
      </w:r>
      <w:r w:rsidR="004415BF">
        <w:t xml:space="preserve">and X if the dormancy indication is received </w:t>
      </w:r>
      <w:r w:rsidR="004415BF" w:rsidRPr="00334944">
        <w:t xml:space="preserve">in any of the first </w:t>
      </w:r>
      <w:r w:rsidR="004415BF">
        <w:t>3</w:t>
      </w:r>
      <w:r w:rsidR="004415BF" w:rsidRPr="00334944">
        <w:t xml:space="preserve"> OFDM symbols of a slot</w:t>
      </w:r>
      <w:r w:rsidR="004415BF">
        <w:t>. X equals to the length of 1 slot corresponding to</w:t>
      </w:r>
      <w:r w:rsidR="004415BF" w:rsidRPr="00ED03E5">
        <w:t xml:space="preserve"> the </w:t>
      </w:r>
      <w:r w:rsidR="004415BF">
        <w:t>smallest value</w:t>
      </w:r>
      <w:r w:rsidR="004415BF" w:rsidRPr="00ED03E5">
        <w:t xml:space="preserve"> </w:t>
      </w:r>
      <w:r w:rsidR="004415BF">
        <w:t>among the SCS of the serving cell where UE receives dormancy indication and the SCSs of the dormant BWP and the active BWP immediately before or after switching the BWP of the serving cell where BWP switching occurs</w:t>
      </w:r>
      <w:r w:rsidR="001A008A">
        <w:t xml:space="preserve">. </w:t>
      </w:r>
    </w:p>
    <w:p w14:paraId="1D74D492" w14:textId="4785E09E" w:rsidR="00577166" w:rsidRDefault="004A1AEE" w:rsidP="00577166">
      <w:pPr>
        <w:jc w:val="both"/>
      </w:pPr>
      <w:r>
        <w:t xml:space="preserve">The </w:t>
      </w:r>
      <w:r w:rsidR="00577166">
        <w:t>agreement</w:t>
      </w:r>
      <w:r>
        <w:t>s</w:t>
      </w:r>
      <w:r w:rsidR="00577166">
        <w:t xml:space="preserve"> [2] related on </w:t>
      </w:r>
      <w:proofErr w:type="spellStart"/>
      <w:r w:rsidR="00577166">
        <w:t>SCell</w:t>
      </w:r>
      <w:proofErr w:type="spellEnd"/>
      <w:r w:rsidR="00577166">
        <w:t xml:space="preserve"> dormancy in the RAN4 #96e was duplicated as below:</w:t>
      </w:r>
    </w:p>
    <w:tbl>
      <w:tblPr>
        <w:tblStyle w:val="af"/>
        <w:tblW w:w="0" w:type="auto"/>
        <w:tblLook w:val="04A0" w:firstRow="1" w:lastRow="0" w:firstColumn="1" w:lastColumn="0" w:noHBand="0" w:noVBand="1"/>
      </w:tblPr>
      <w:tblGrid>
        <w:gridCol w:w="9631"/>
      </w:tblGrid>
      <w:tr w:rsidR="004A1AEE" w14:paraId="6A679A6B" w14:textId="77777777" w:rsidTr="004A1AEE">
        <w:tc>
          <w:tcPr>
            <w:tcW w:w="9631" w:type="dxa"/>
          </w:tcPr>
          <w:p w14:paraId="5353CAA8" w14:textId="6AE526C3" w:rsidR="004A1AEE" w:rsidRDefault="004A1AEE" w:rsidP="004A1AEE">
            <w:pPr>
              <w:jc w:val="both"/>
              <w:rPr>
                <w:lang w:val="sv-SE"/>
              </w:rPr>
            </w:pPr>
            <w:r w:rsidRPr="004A1AEE">
              <w:rPr>
                <w:b/>
                <w:bCs/>
              </w:rPr>
              <w:t>2-2-1: Delay requirement, triggering within first 3 OFDM symbols</w:t>
            </w:r>
          </w:p>
          <w:p w14:paraId="62626B93" w14:textId="6DE05CC4" w:rsidR="004A1AEE" w:rsidRPr="004A1AEE" w:rsidRDefault="004A1AEE" w:rsidP="004A1AEE">
            <w:pPr>
              <w:jc w:val="both"/>
              <w:rPr>
                <w:highlight w:val="green"/>
                <w:lang w:val="en-US"/>
              </w:rPr>
            </w:pPr>
            <w:r w:rsidRPr="004A1AEE">
              <w:rPr>
                <w:highlight w:val="green"/>
                <w:lang w:val="sv-SE"/>
              </w:rPr>
              <w:t xml:space="preserve">Agreement: </w:t>
            </w:r>
          </w:p>
          <w:p w14:paraId="74C5C988" w14:textId="77777777" w:rsidR="004A1AEE" w:rsidRPr="004A1AEE" w:rsidRDefault="004A1AEE" w:rsidP="004A1AEE">
            <w:pPr>
              <w:numPr>
                <w:ilvl w:val="1"/>
                <w:numId w:val="12"/>
              </w:numPr>
              <w:jc w:val="both"/>
              <w:rPr>
                <w:highlight w:val="green"/>
                <w:lang w:val="en-US"/>
              </w:rPr>
            </w:pPr>
            <w:r w:rsidRPr="004A1AEE">
              <w:rPr>
                <w:highlight w:val="green"/>
              </w:rPr>
              <w:t xml:space="preserve">Additional [1] slot relaxation is applied to compensate for cross carrier scheduling </w:t>
            </w:r>
          </w:p>
          <w:p w14:paraId="62D14C28" w14:textId="36DE1BF0" w:rsidR="004A1AEE" w:rsidRPr="004A1AEE" w:rsidRDefault="004A1AEE" w:rsidP="004A1AEE">
            <w:pPr>
              <w:numPr>
                <w:ilvl w:val="2"/>
                <w:numId w:val="12"/>
              </w:numPr>
              <w:jc w:val="both"/>
              <w:rPr>
                <w:highlight w:val="green"/>
                <w:lang w:val="en-US"/>
              </w:rPr>
            </w:pPr>
            <w:r w:rsidRPr="004A1AEE">
              <w:rPr>
                <w:highlight w:val="green"/>
              </w:rPr>
              <w:t xml:space="preserve">In case SCS differs between </w:t>
            </w:r>
            <w:proofErr w:type="spellStart"/>
            <w:r w:rsidRPr="004A1AEE">
              <w:rPr>
                <w:highlight w:val="green"/>
              </w:rPr>
              <w:t>spCell</w:t>
            </w:r>
            <w:proofErr w:type="spellEnd"/>
            <w:r w:rsidRPr="004A1AEE">
              <w:rPr>
                <w:highlight w:val="green"/>
              </w:rPr>
              <w:t xml:space="preserve"> and </w:t>
            </w:r>
            <w:proofErr w:type="spellStart"/>
            <w:r w:rsidRPr="004A1AEE">
              <w:rPr>
                <w:highlight w:val="green"/>
              </w:rPr>
              <w:t>SCell</w:t>
            </w:r>
            <w:proofErr w:type="spellEnd"/>
            <w:r w:rsidRPr="004A1AEE">
              <w:rPr>
                <w:highlight w:val="green"/>
              </w:rPr>
              <w:t>, the smaller SCS applies.</w:t>
            </w:r>
          </w:p>
          <w:p w14:paraId="01E2934B" w14:textId="5BA336AE" w:rsidR="004A1AEE" w:rsidRPr="004A1AEE" w:rsidRDefault="004A1AEE" w:rsidP="004A1AEE">
            <w:pPr>
              <w:jc w:val="both"/>
              <w:rPr>
                <w:lang w:val="en-US"/>
              </w:rPr>
            </w:pPr>
            <w:r w:rsidRPr="004A1AEE">
              <w:rPr>
                <w:b/>
                <w:bCs/>
              </w:rPr>
              <w:t>2-2-3: Delay requirement, triggering after first 3 OFDM symbols</w:t>
            </w:r>
          </w:p>
          <w:p w14:paraId="21C29C5A" w14:textId="77777777" w:rsidR="004A1AEE" w:rsidRPr="004A1AEE" w:rsidRDefault="004A1AEE" w:rsidP="004A1AEE">
            <w:pPr>
              <w:jc w:val="both"/>
              <w:rPr>
                <w:lang w:val="en-US"/>
              </w:rPr>
            </w:pPr>
            <w:r w:rsidRPr="004A1AEE">
              <w:rPr>
                <w:highlight w:val="green"/>
                <w:lang w:val="sv-SE"/>
              </w:rPr>
              <w:t>Agreement:</w:t>
            </w:r>
          </w:p>
          <w:p w14:paraId="41F4DAF9" w14:textId="77777777" w:rsidR="004A1AEE" w:rsidRPr="004A1AEE" w:rsidRDefault="004A1AEE" w:rsidP="004A1AEE">
            <w:pPr>
              <w:numPr>
                <w:ilvl w:val="1"/>
                <w:numId w:val="13"/>
              </w:numPr>
              <w:jc w:val="both"/>
              <w:rPr>
                <w:highlight w:val="green"/>
                <w:lang w:val="en-US"/>
              </w:rPr>
            </w:pPr>
            <w:r w:rsidRPr="004A1AEE">
              <w:rPr>
                <w:highlight w:val="green"/>
                <w:lang w:val="en-US"/>
              </w:rPr>
              <w:lastRenderedPageBreak/>
              <w:t>RAN4 captures the delay requirement for triggering after first 3 OFDM symbols in a DCI format-agnostic manner</w:t>
            </w:r>
          </w:p>
          <w:p w14:paraId="698157B9" w14:textId="77777777" w:rsidR="004A1AEE" w:rsidRPr="004A1AEE" w:rsidRDefault="004A1AEE" w:rsidP="004A1AEE">
            <w:pPr>
              <w:numPr>
                <w:ilvl w:val="1"/>
                <w:numId w:val="13"/>
              </w:numPr>
              <w:jc w:val="both"/>
              <w:rPr>
                <w:highlight w:val="green"/>
                <w:lang w:val="en-US"/>
              </w:rPr>
            </w:pPr>
            <w:r w:rsidRPr="004A1AEE">
              <w:rPr>
                <w:highlight w:val="green"/>
                <w:lang w:val="en-US"/>
              </w:rPr>
              <w:t>In case RAN1 introduces restrictions for DCI formats 0_1 and/or 1_1, RAN4 will update the RRM specification accordingly.</w:t>
            </w:r>
          </w:p>
          <w:p w14:paraId="220F492C" w14:textId="77777777" w:rsidR="004A1AEE" w:rsidRPr="004A1AEE" w:rsidRDefault="004A1AEE" w:rsidP="004A1AEE">
            <w:pPr>
              <w:numPr>
                <w:ilvl w:val="1"/>
                <w:numId w:val="13"/>
              </w:numPr>
              <w:jc w:val="both"/>
              <w:rPr>
                <w:highlight w:val="green"/>
                <w:lang w:val="en-US"/>
              </w:rPr>
            </w:pPr>
            <w:r w:rsidRPr="004A1AEE">
              <w:rPr>
                <w:highlight w:val="green"/>
              </w:rPr>
              <w:t>Additional [1] slot relaxation is applied to compensate for cross carrier scheduling</w:t>
            </w:r>
          </w:p>
          <w:p w14:paraId="3F76E537" w14:textId="77777777" w:rsidR="004A1AEE" w:rsidRPr="004A1AEE" w:rsidRDefault="004A1AEE" w:rsidP="004A1AEE">
            <w:pPr>
              <w:numPr>
                <w:ilvl w:val="2"/>
                <w:numId w:val="13"/>
              </w:numPr>
              <w:jc w:val="both"/>
              <w:rPr>
                <w:highlight w:val="green"/>
                <w:lang w:val="en-US"/>
              </w:rPr>
            </w:pPr>
            <w:r w:rsidRPr="004A1AEE">
              <w:rPr>
                <w:highlight w:val="green"/>
              </w:rPr>
              <w:t xml:space="preserve">In case SCS differs between </w:t>
            </w:r>
            <w:proofErr w:type="spellStart"/>
            <w:r w:rsidRPr="004A1AEE">
              <w:rPr>
                <w:highlight w:val="green"/>
              </w:rPr>
              <w:t>spCell</w:t>
            </w:r>
            <w:proofErr w:type="spellEnd"/>
            <w:r w:rsidRPr="004A1AEE">
              <w:rPr>
                <w:highlight w:val="green"/>
              </w:rPr>
              <w:t xml:space="preserve"> and </w:t>
            </w:r>
            <w:proofErr w:type="spellStart"/>
            <w:r w:rsidRPr="004A1AEE">
              <w:rPr>
                <w:highlight w:val="green"/>
              </w:rPr>
              <w:t>SCell</w:t>
            </w:r>
            <w:proofErr w:type="spellEnd"/>
            <w:r w:rsidRPr="004A1AEE">
              <w:rPr>
                <w:highlight w:val="green"/>
              </w:rPr>
              <w:t>, the smaller SCS applies.</w:t>
            </w:r>
          </w:p>
          <w:p w14:paraId="22C13DAB" w14:textId="2C57E682" w:rsidR="004A1AEE" w:rsidRPr="004A1AEE" w:rsidRDefault="004A1AEE" w:rsidP="001A008A">
            <w:pPr>
              <w:numPr>
                <w:ilvl w:val="1"/>
                <w:numId w:val="13"/>
              </w:numPr>
              <w:jc w:val="both"/>
              <w:rPr>
                <w:lang w:val="en-US"/>
              </w:rPr>
            </w:pPr>
            <w:r w:rsidRPr="004A1AEE">
              <w:rPr>
                <w:highlight w:val="green"/>
                <w:lang w:val="en-US"/>
              </w:rPr>
              <w:t>Additional Z=1 slot (</w:t>
            </w:r>
            <w:proofErr w:type="spellStart"/>
            <w:r w:rsidRPr="004A1AEE">
              <w:rPr>
                <w:highlight w:val="green"/>
                <w:lang w:val="en-US"/>
              </w:rPr>
              <w:t>spCell</w:t>
            </w:r>
            <w:proofErr w:type="spellEnd"/>
            <w:r w:rsidRPr="004A1AEE">
              <w:rPr>
                <w:highlight w:val="green"/>
                <w:lang w:val="en-US"/>
              </w:rPr>
              <w:t xml:space="preserve"> numerology) relaxation is applied for DCI received after first X=3 symbols in a slot</w:t>
            </w:r>
          </w:p>
        </w:tc>
      </w:tr>
    </w:tbl>
    <w:p w14:paraId="41EE5AF0" w14:textId="559B0825" w:rsidR="00577166" w:rsidRDefault="00577166" w:rsidP="001A008A">
      <w:pPr>
        <w:jc w:val="both"/>
      </w:pPr>
    </w:p>
    <w:p w14:paraId="5BE96AA4" w14:textId="70DB0805" w:rsidR="001A008A" w:rsidRDefault="00F461F9" w:rsidP="001A008A">
      <w:pPr>
        <w:jc w:val="both"/>
      </w:pPr>
      <w:r>
        <w:t xml:space="preserve">It can be observed that addition 1 slot relaxation is applied </w:t>
      </w:r>
      <w:r w:rsidRPr="00F461F9">
        <w:t xml:space="preserve">for </w:t>
      </w:r>
      <w:r w:rsidR="00131346">
        <w:t xml:space="preserve">dormant BWP </w:t>
      </w:r>
      <w:r>
        <w:t xml:space="preserve">for both </w:t>
      </w:r>
      <w:r w:rsidRPr="00F461F9">
        <w:t xml:space="preserve">dormancy indication </w:t>
      </w:r>
      <w:r>
        <w:t xml:space="preserve">is </w:t>
      </w:r>
      <w:r w:rsidR="00131346" w:rsidRPr="00131346">
        <w:t xml:space="preserve">received </w:t>
      </w:r>
      <w:r w:rsidRPr="00F461F9">
        <w:t>within first 3 OFDM symbols</w:t>
      </w:r>
      <w:r>
        <w:t xml:space="preserve"> and </w:t>
      </w:r>
      <w:r w:rsidRPr="00F461F9">
        <w:t>after first 3 OFDM symbols</w:t>
      </w:r>
      <w:r>
        <w:t>.</w:t>
      </w:r>
      <w:r w:rsidR="00B2512A">
        <w:t xml:space="preserve"> In our understanding, </w:t>
      </w:r>
      <w:r w:rsidR="00131346">
        <w:t>the same rule</w:t>
      </w:r>
      <w:r w:rsidR="00B2512A">
        <w:t>s</w:t>
      </w:r>
      <w:r w:rsidR="00131346">
        <w:t xml:space="preserve"> with</w:t>
      </w:r>
      <w:r w:rsidR="00131346" w:rsidRPr="00131346">
        <w:t xml:space="preserve"> cross-carrier scheduling </w:t>
      </w:r>
      <w:r w:rsidR="00131346">
        <w:t>should be followed</w:t>
      </w:r>
      <w:r w:rsidR="00B2512A">
        <w:t xml:space="preserve"> for the case of dormant BWP</w:t>
      </w:r>
      <w:r w:rsidR="00131346">
        <w:t xml:space="preserve">. </w:t>
      </w:r>
      <w:r w:rsidR="001A008A">
        <w:t xml:space="preserve">It </w:t>
      </w:r>
      <w:r w:rsidR="00131346">
        <w:t>is</w:t>
      </w:r>
      <w:r w:rsidR="001A008A">
        <w:t xml:space="preserve"> re</w:t>
      </w:r>
      <w:r w:rsidR="00131346">
        <w:t>commended</w:t>
      </w:r>
      <w:r w:rsidR="001A008A">
        <w:t xml:space="preserve"> to make X equals to the length of 1 slot of 120kHz for FR2-2 and the existing requirements need to be modified.</w:t>
      </w:r>
    </w:p>
    <w:p w14:paraId="104CE43A" w14:textId="3AE4BAE7" w:rsidR="001A008A" w:rsidRPr="005504F6" w:rsidRDefault="001A008A" w:rsidP="001A008A">
      <w:pPr>
        <w:jc w:val="both"/>
        <w:rPr>
          <w:b/>
          <w:bCs/>
        </w:rPr>
      </w:pPr>
      <w:r w:rsidRPr="005504F6">
        <w:rPr>
          <w:b/>
          <w:bCs/>
        </w:rPr>
        <w:t xml:space="preserve">Proposal </w:t>
      </w:r>
      <w:r>
        <w:rPr>
          <w:b/>
          <w:bCs/>
        </w:rPr>
        <w:t>2</w:t>
      </w:r>
      <w:r w:rsidRPr="005504F6">
        <w:rPr>
          <w:b/>
          <w:bCs/>
        </w:rPr>
        <w:t xml:space="preserve">: </w:t>
      </w:r>
      <w:r w:rsidR="00352E0A">
        <w:rPr>
          <w:b/>
          <w:bCs/>
        </w:rPr>
        <w:t>T</w:t>
      </w:r>
      <w:r w:rsidRPr="005504F6">
        <w:rPr>
          <w:b/>
          <w:bCs/>
        </w:rPr>
        <w:t xml:space="preserve">he active BWP switching delay requirements </w:t>
      </w:r>
      <w:r w:rsidR="00B2512A">
        <w:rPr>
          <w:b/>
          <w:bCs/>
        </w:rPr>
        <w:t xml:space="preserve">when </w:t>
      </w:r>
      <w:r w:rsidR="00B2512A" w:rsidRPr="001A008A">
        <w:rPr>
          <w:b/>
          <w:bCs/>
        </w:rPr>
        <w:t>one of the two BWPs in a BWP switching is a dormant BWP</w:t>
      </w:r>
      <w:r w:rsidR="00B2512A" w:rsidRPr="005504F6">
        <w:rPr>
          <w:b/>
          <w:bCs/>
        </w:rPr>
        <w:t xml:space="preserve"> </w:t>
      </w:r>
      <w:r w:rsidRPr="005504F6">
        <w:rPr>
          <w:b/>
          <w:bCs/>
        </w:rPr>
        <w:t xml:space="preserve">for FR2-2 </w:t>
      </w:r>
      <w:r w:rsidR="00352E0A">
        <w:rPr>
          <w:rFonts w:hint="eastAsia"/>
          <w:b/>
          <w:bCs/>
        </w:rPr>
        <w:t>should</w:t>
      </w:r>
      <w:r w:rsidR="00352E0A">
        <w:rPr>
          <w:b/>
          <w:bCs/>
        </w:rPr>
        <w:t xml:space="preserve"> </w:t>
      </w:r>
      <w:r w:rsidR="00352E0A">
        <w:rPr>
          <w:rFonts w:hint="eastAsia"/>
          <w:b/>
          <w:bCs/>
        </w:rPr>
        <w:t>be</w:t>
      </w:r>
      <w:r w:rsidR="00352E0A">
        <w:rPr>
          <w:b/>
          <w:bCs/>
        </w:rPr>
        <w:t xml:space="preserve"> </w:t>
      </w:r>
      <w:r w:rsidR="00352E0A">
        <w:rPr>
          <w:rFonts w:hint="eastAsia"/>
          <w:b/>
          <w:bCs/>
        </w:rPr>
        <w:t>updated</w:t>
      </w:r>
      <w:r w:rsidR="00352E0A">
        <w:rPr>
          <w:b/>
          <w:bCs/>
        </w:rPr>
        <w:t xml:space="preserve"> </w:t>
      </w:r>
      <w:r w:rsidRPr="005504F6">
        <w:rPr>
          <w:b/>
          <w:bCs/>
        </w:rPr>
        <w:t>as below:</w:t>
      </w:r>
    </w:p>
    <w:tbl>
      <w:tblPr>
        <w:tblStyle w:val="af"/>
        <w:tblW w:w="0" w:type="auto"/>
        <w:tblLook w:val="04A0" w:firstRow="1" w:lastRow="0" w:firstColumn="1" w:lastColumn="0" w:noHBand="0" w:noVBand="1"/>
      </w:tblPr>
      <w:tblGrid>
        <w:gridCol w:w="9631"/>
      </w:tblGrid>
      <w:tr w:rsidR="001A008A" w14:paraId="70283178" w14:textId="77777777" w:rsidTr="001A008A">
        <w:tc>
          <w:tcPr>
            <w:tcW w:w="9631" w:type="dxa"/>
          </w:tcPr>
          <w:p w14:paraId="182DACDA" w14:textId="77777777" w:rsidR="001A008A" w:rsidRPr="001A008A" w:rsidRDefault="001A008A" w:rsidP="001A008A">
            <w:pPr>
              <w:rPr>
                <w:b/>
                <w:bCs/>
              </w:rPr>
            </w:pPr>
            <w:r w:rsidRPr="001A008A">
              <w:rPr>
                <w:b/>
                <w:bCs/>
              </w:rPr>
              <w:t>If the BWP switch is triggered within or outside DRX active time, and one of the two BWPs in a BWP switching is a dormant BWP [TS 38.321, 7], UE shall be able to complete active BWP switching within the time duration of</w:t>
            </w:r>
          </w:p>
          <w:p w14:paraId="2B4CDD98" w14:textId="77777777" w:rsidR="001A008A" w:rsidRPr="001A008A" w:rsidRDefault="001A008A" w:rsidP="001A008A">
            <w:pPr>
              <w:pStyle w:val="B1"/>
              <w:rPr>
                <w:b/>
                <w:bCs/>
              </w:rPr>
            </w:pPr>
            <w:r w:rsidRPr="001A008A">
              <w:rPr>
                <w:b/>
                <w:bCs/>
              </w:rPr>
              <w:t>-</w:t>
            </w:r>
            <w:r w:rsidRPr="001A008A">
              <w:rPr>
                <w:b/>
                <w:bCs/>
              </w:rPr>
              <w:tab/>
            </w:r>
            <w:proofErr w:type="spellStart"/>
            <w:r w:rsidRPr="001A008A">
              <w:rPr>
                <w:b/>
                <w:bCs/>
              </w:rPr>
              <w:t>T</w:t>
            </w:r>
            <w:r w:rsidRPr="001A008A">
              <w:rPr>
                <w:b/>
                <w:bCs/>
                <w:vertAlign w:val="subscript"/>
              </w:rPr>
              <w:t>dormantBWPswitchDelay</w:t>
            </w:r>
            <w:proofErr w:type="spellEnd"/>
            <w:r w:rsidRPr="001A008A">
              <w:rPr>
                <w:b/>
                <w:bCs/>
              </w:rPr>
              <w:t xml:space="preserve"> =</w:t>
            </w:r>
            <w:proofErr w:type="spellStart"/>
            <w:r w:rsidRPr="001A008A">
              <w:rPr>
                <w:b/>
                <w:bCs/>
              </w:rPr>
              <w:t>T</w:t>
            </w:r>
            <w:r w:rsidRPr="001A008A">
              <w:rPr>
                <w:b/>
                <w:bCs/>
                <w:vertAlign w:val="subscript"/>
              </w:rPr>
              <w:t>BWPswitchDelay</w:t>
            </w:r>
            <w:proofErr w:type="spellEnd"/>
            <w:r w:rsidRPr="001A008A">
              <w:rPr>
                <w:b/>
                <w:bCs/>
              </w:rPr>
              <w:t xml:space="preserve">+ X, provided that the dormancy indication is received in any of the first 3 OFDM symbols of a slot in the serving cell where DCI for dormancy indication is </w:t>
            </w:r>
            <w:proofErr w:type="spellStart"/>
            <w:r w:rsidRPr="001A008A">
              <w:rPr>
                <w:b/>
                <w:bCs/>
              </w:rPr>
              <w:t>receiveds</w:t>
            </w:r>
            <w:proofErr w:type="spellEnd"/>
            <w:r w:rsidRPr="001A008A">
              <w:rPr>
                <w:b/>
                <w:bCs/>
              </w:rPr>
              <w:t>, or</w:t>
            </w:r>
          </w:p>
          <w:p w14:paraId="3EDDE51D" w14:textId="77777777" w:rsidR="001A008A" w:rsidRPr="001A008A" w:rsidRDefault="001A008A" w:rsidP="001A008A">
            <w:pPr>
              <w:pStyle w:val="B1"/>
              <w:rPr>
                <w:b/>
                <w:bCs/>
              </w:rPr>
            </w:pPr>
            <w:r w:rsidRPr="001A008A">
              <w:rPr>
                <w:b/>
                <w:bCs/>
              </w:rPr>
              <w:t>-</w:t>
            </w:r>
            <w:r w:rsidRPr="001A008A">
              <w:rPr>
                <w:b/>
                <w:bCs/>
              </w:rPr>
              <w:tab/>
            </w:r>
            <w:proofErr w:type="spellStart"/>
            <w:r w:rsidRPr="001A008A">
              <w:rPr>
                <w:b/>
                <w:bCs/>
              </w:rPr>
              <w:t>T</w:t>
            </w:r>
            <w:r w:rsidRPr="001A008A">
              <w:rPr>
                <w:b/>
                <w:bCs/>
                <w:vertAlign w:val="subscript"/>
              </w:rPr>
              <w:t>dormantBWPswitchDelay</w:t>
            </w:r>
            <w:proofErr w:type="spellEnd"/>
            <w:r w:rsidRPr="001A008A">
              <w:rPr>
                <w:b/>
                <w:bCs/>
              </w:rPr>
              <w:t xml:space="preserve"> =</w:t>
            </w:r>
            <w:proofErr w:type="spellStart"/>
            <w:r w:rsidRPr="001A008A">
              <w:rPr>
                <w:b/>
                <w:bCs/>
              </w:rPr>
              <w:t>T</w:t>
            </w:r>
            <w:r w:rsidRPr="001A008A">
              <w:rPr>
                <w:b/>
                <w:bCs/>
                <w:vertAlign w:val="subscript"/>
              </w:rPr>
              <w:t>BWPswitchDelay</w:t>
            </w:r>
            <w:proofErr w:type="spellEnd"/>
            <w:r w:rsidRPr="001A008A">
              <w:rPr>
                <w:b/>
                <w:bCs/>
              </w:rPr>
              <w:t xml:space="preserve"> + X + Z, provided that the dormancy indication is received after the first 3 OFDM symbols of a slot in the serving cell where DCI for dormancy indication is received, where </w:t>
            </w:r>
          </w:p>
          <w:p w14:paraId="61AB5BA8" w14:textId="607E550C" w:rsidR="001A008A" w:rsidRDefault="001A008A" w:rsidP="001A008A">
            <w:pPr>
              <w:pStyle w:val="B1"/>
              <w:rPr>
                <w:b/>
                <w:bCs/>
              </w:rPr>
            </w:pPr>
            <w:r w:rsidRPr="001A008A">
              <w:rPr>
                <w:b/>
                <w:bCs/>
              </w:rPr>
              <w:t>-</w:t>
            </w:r>
            <w:r w:rsidRPr="001A008A">
              <w:rPr>
                <w:b/>
                <w:bCs/>
              </w:rPr>
              <w:tab/>
            </w:r>
            <w:proofErr w:type="spellStart"/>
            <w:r w:rsidRPr="001A008A">
              <w:rPr>
                <w:b/>
                <w:bCs/>
              </w:rPr>
              <w:t>T</w:t>
            </w:r>
            <w:r w:rsidRPr="001A008A">
              <w:rPr>
                <w:b/>
                <w:bCs/>
                <w:vertAlign w:val="subscript"/>
              </w:rPr>
              <w:t>BWPswitchDelay</w:t>
            </w:r>
            <w:proofErr w:type="spellEnd"/>
            <w:r w:rsidRPr="001A008A">
              <w:rPr>
                <w:b/>
                <w:bCs/>
              </w:rP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69919EA6" w14:textId="717ED6E0" w:rsidR="001A008A" w:rsidRPr="00577166" w:rsidRDefault="001A008A" w:rsidP="001A008A">
            <w:pPr>
              <w:pStyle w:val="B1"/>
              <w:rPr>
                <w:b/>
                <w:bCs/>
                <w:highlight w:val="yellow"/>
                <w:lang w:eastAsia="zh-CN"/>
              </w:rPr>
            </w:pPr>
            <w:r w:rsidRPr="00577166">
              <w:rPr>
                <w:rFonts w:hint="eastAsia"/>
                <w:b/>
                <w:bCs/>
                <w:highlight w:val="yellow"/>
                <w:lang w:eastAsia="zh-CN"/>
              </w:rPr>
              <w:t>F</w:t>
            </w:r>
            <w:r w:rsidRPr="00577166">
              <w:rPr>
                <w:b/>
                <w:bCs/>
                <w:highlight w:val="yellow"/>
                <w:lang w:eastAsia="zh-CN"/>
              </w:rPr>
              <w:t>or FR1 and FR2-1</w:t>
            </w:r>
            <w:r w:rsidRPr="00577166">
              <w:rPr>
                <w:rFonts w:hint="eastAsia"/>
                <w:b/>
                <w:bCs/>
                <w:highlight w:val="yellow"/>
                <w:lang w:eastAsia="zh-CN"/>
              </w:rPr>
              <w:t>,</w:t>
            </w:r>
          </w:p>
          <w:p w14:paraId="05E818DF" w14:textId="6E335330" w:rsidR="001A008A" w:rsidRPr="00577166" w:rsidRDefault="001A008A" w:rsidP="001A008A">
            <w:pPr>
              <w:pStyle w:val="B1"/>
              <w:rPr>
                <w:b/>
                <w:bCs/>
                <w:highlight w:val="yellow"/>
              </w:rPr>
            </w:pPr>
            <w:r w:rsidRPr="00577166">
              <w:rPr>
                <w:b/>
                <w:bCs/>
                <w:highlight w:val="yellow"/>
              </w:rPr>
              <w:t>-</w:t>
            </w:r>
            <w:r w:rsidRPr="00577166">
              <w:rPr>
                <w:b/>
                <w:bCs/>
                <w:highlight w:val="yellow"/>
              </w:rPr>
              <w:tab/>
            </w:r>
            <w:r w:rsidRPr="00577166">
              <w:rPr>
                <w:b/>
                <w:bCs/>
                <w:highlight w:val="yellow"/>
                <w:lang w:val="en-US" w:eastAsia="zh-CN"/>
              </w:rPr>
              <w:t xml:space="preserve">X equals to the length of 1 slot </w:t>
            </w:r>
            <w:r w:rsidRPr="00577166">
              <w:rPr>
                <w:b/>
                <w:bCs/>
                <w:highlight w:val="yellow"/>
              </w:rPr>
              <w:t>corresponding to the smallest value among the SCS of the serving cell where UE receives dormancy indication and the SCSs of the dormant BWP and the active BWP immediately before or after switching the BWP of the serving cell where BWP switching occurs.</w:t>
            </w:r>
          </w:p>
          <w:p w14:paraId="420B3D5E" w14:textId="443E0C66" w:rsidR="00577166" w:rsidRPr="00577166" w:rsidRDefault="00577166" w:rsidP="001A008A">
            <w:pPr>
              <w:pStyle w:val="B1"/>
              <w:rPr>
                <w:b/>
                <w:bCs/>
                <w:highlight w:val="yellow"/>
              </w:rPr>
            </w:pPr>
            <w:r w:rsidRPr="00577166">
              <w:rPr>
                <w:b/>
                <w:bCs/>
                <w:highlight w:val="yellow"/>
              </w:rPr>
              <w:t>-</w:t>
            </w:r>
            <w:r w:rsidRPr="00577166">
              <w:rPr>
                <w:b/>
                <w:bCs/>
                <w:highlight w:val="yellow"/>
              </w:rPr>
              <w:tab/>
              <w:t>Z equals to the length of 1 slot corresponding to the SCS of the serving cell where UE receives dormancy indication</w:t>
            </w:r>
          </w:p>
          <w:p w14:paraId="277C9320" w14:textId="2A063D4C" w:rsidR="001A008A" w:rsidRPr="00577166" w:rsidRDefault="001A008A" w:rsidP="001A008A">
            <w:pPr>
              <w:pStyle w:val="B1"/>
              <w:rPr>
                <w:b/>
                <w:bCs/>
                <w:highlight w:val="yellow"/>
                <w:lang w:eastAsia="zh-CN"/>
              </w:rPr>
            </w:pPr>
            <w:r w:rsidRPr="00577166">
              <w:rPr>
                <w:rFonts w:hint="eastAsia"/>
                <w:b/>
                <w:bCs/>
                <w:highlight w:val="yellow"/>
                <w:lang w:eastAsia="zh-CN"/>
              </w:rPr>
              <w:t>F</w:t>
            </w:r>
            <w:r w:rsidRPr="00577166">
              <w:rPr>
                <w:b/>
                <w:bCs/>
                <w:highlight w:val="yellow"/>
                <w:lang w:eastAsia="zh-CN"/>
              </w:rPr>
              <w:t>or FR2-2,</w:t>
            </w:r>
          </w:p>
          <w:p w14:paraId="582056C1" w14:textId="4E887423" w:rsidR="001A008A" w:rsidRPr="00577166" w:rsidRDefault="001A008A" w:rsidP="001A008A">
            <w:pPr>
              <w:pStyle w:val="B1"/>
              <w:rPr>
                <w:b/>
                <w:bCs/>
                <w:highlight w:val="yellow"/>
              </w:rPr>
            </w:pPr>
            <w:r w:rsidRPr="00577166">
              <w:rPr>
                <w:b/>
                <w:bCs/>
                <w:highlight w:val="yellow"/>
              </w:rPr>
              <w:t>-</w:t>
            </w:r>
            <w:r w:rsidRPr="00577166">
              <w:rPr>
                <w:b/>
                <w:bCs/>
                <w:highlight w:val="yellow"/>
              </w:rPr>
              <w:tab/>
            </w:r>
            <w:r w:rsidRPr="00577166">
              <w:rPr>
                <w:b/>
                <w:bCs/>
                <w:highlight w:val="yellow"/>
                <w:lang w:val="en-US" w:eastAsia="zh-CN"/>
              </w:rPr>
              <w:t>X equals to the length of 1 slot of 120kHz.</w:t>
            </w:r>
          </w:p>
          <w:p w14:paraId="33F59A2B" w14:textId="2D274F77" w:rsidR="001A008A" w:rsidRPr="001A008A" w:rsidRDefault="001A008A" w:rsidP="001A008A">
            <w:pPr>
              <w:pStyle w:val="B1"/>
              <w:rPr>
                <w:b/>
                <w:bCs/>
              </w:rPr>
            </w:pPr>
            <w:r w:rsidRPr="00577166">
              <w:rPr>
                <w:b/>
                <w:bCs/>
                <w:highlight w:val="yellow"/>
              </w:rPr>
              <w:t>-</w:t>
            </w:r>
            <w:r w:rsidRPr="00577166">
              <w:rPr>
                <w:b/>
                <w:bCs/>
                <w:highlight w:val="yellow"/>
              </w:rPr>
              <w:tab/>
              <w:t>Z equals to the length of 1 slot corresponding to the SCS of the serving cell where UE receives dormancy indication.</w:t>
            </w:r>
          </w:p>
        </w:tc>
      </w:tr>
    </w:tbl>
    <w:p w14:paraId="138A6407" w14:textId="77777777" w:rsidR="001A008A" w:rsidRPr="00C54FC3" w:rsidRDefault="001A008A" w:rsidP="004D1BAF">
      <w:pPr>
        <w:jc w:val="both"/>
      </w:pPr>
    </w:p>
    <w:bookmarkEnd w:id="4"/>
    <w:p w14:paraId="7D21D36D" w14:textId="7D8D2E65" w:rsidR="00174A69" w:rsidRDefault="00F62E9E" w:rsidP="00F62E9E">
      <w:pPr>
        <w:pStyle w:val="1"/>
        <w:rPr>
          <w:lang w:val="en-US"/>
        </w:rPr>
      </w:pPr>
      <w:r>
        <w:rPr>
          <w:lang w:val="en-US"/>
        </w:rPr>
        <w:t>Conclusion</w:t>
      </w:r>
    </w:p>
    <w:p w14:paraId="18FDF9F2" w14:textId="77777777" w:rsidR="00352E0A" w:rsidRPr="005504F6" w:rsidRDefault="00352E0A" w:rsidP="00352E0A">
      <w:pPr>
        <w:jc w:val="both"/>
        <w:rPr>
          <w:b/>
          <w:bCs/>
        </w:rPr>
      </w:pPr>
      <w:r w:rsidRPr="005504F6">
        <w:rPr>
          <w:b/>
          <w:bCs/>
        </w:rPr>
        <w:t xml:space="preserve">Proposal 1: </w:t>
      </w:r>
      <w:r>
        <w:rPr>
          <w:b/>
          <w:bCs/>
        </w:rPr>
        <w:t>T</w:t>
      </w:r>
      <w:r w:rsidRPr="005504F6">
        <w:rPr>
          <w:b/>
          <w:bCs/>
        </w:rPr>
        <w:t xml:space="preserve">he active BWP switching delay requirements </w:t>
      </w:r>
      <w:r>
        <w:rPr>
          <w:b/>
          <w:bCs/>
        </w:rPr>
        <w:t xml:space="preserve">for </w:t>
      </w:r>
      <w:r w:rsidRPr="001A008A">
        <w:rPr>
          <w:b/>
          <w:bCs/>
        </w:rPr>
        <w:t>cross-carrier scheduling</w:t>
      </w:r>
      <w:r w:rsidRPr="005504F6">
        <w:rPr>
          <w:b/>
          <w:bCs/>
        </w:rPr>
        <w:t xml:space="preserve"> for FR2-2 </w:t>
      </w:r>
      <w:r>
        <w:rPr>
          <w:b/>
          <w:bCs/>
        </w:rPr>
        <w:t xml:space="preserve">should </w:t>
      </w:r>
      <w:r>
        <w:rPr>
          <w:rFonts w:hint="eastAsia"/>
          <w:b/>
          <w:bCs/>
        </w:rPr>
        <w:t>be</w:t>
      </w:r>
      <w:r>
        <w:rPr>
          <w:b/>
          <w:bCs/>
        </w:rPr>
        <w:t xml:space="preserve"> </w:t>
      </w:r>
      <w:r>
        <w:rPr>
          <w:rFonts w:hint="eastAsia"/>
          <w:b/>
          <w:bCs/>
        </w:rPr>
        <w:t>updated</w:t>
      </w:r>
      <w:r>
        <w:rPr>
          <w:b/>
          <w:bCs/>
        </w:rPr>
        <w:t xml:space="preserve"> </w:t>
      </w:r>
      <w:r w:rsidRPr="005504F6">
        <w:rPr>
          <w:b/>
          <w:bCs/>
        </w:rPr>
        <w:t>as below:</w:t>
      </w:r>
    </w:p>
    <w:tbl>
      <w:tblPr>
        <w:tblStyle w:val="af"/>
        <w:tblW w:w="0" w:type="auto"/>
        <w:tblLook w:val="04A0" w:firstRow="1" w:lastRow="0" w:firstColumn="1" w:lastColumn="0" w:noHBand="0" w:noVBand="1"/>
      </w:tblPr>
      <w:tblGrid>
        <w:gridCol w:w="9631"/>
      </w:tblGrid>
      <w:tr w:rsidR="00577166" w14:paraId="22C1DEE5" w14:textId="77777777" w:rsidTr="00FC7B2B">
        <w:tc>
          <w:tcPr>
            <w:tcW w:w="9631" w:type="dxa"/>
          </w:tcPr>
          <w:p w14:paraId="15A915B2" w14:textId="77777777" w:rsidR="00577166" w:rsidRPr="005504F6" w:rsidRDefault="00577166" w:rsidP="00FC7B2B">
            <w:pPr>
              <w:rPr>
                <w:b/>
                <w:bCs/>
              </w:rPr>
            </w:pPr>
            <w:r w:rsidRPr="005504F6">
              <w:rPr>
                <w:b/>
                <w:bCs/>
                <w:lang w:val="en-US"/>
              </w:rPr>
              <w:t xml:space="preserve">For DCI-based BWP switch, </w:t>
            </w:r>
            <w:r w:rsidRPr="005504F6">
              <w:rPr>
                <w:b/>
                <w:bCs/>
              </w:rPr>
              <w:t xml:space="preserve">after the UE receives BWP switching request at DL slot n </w:t>
            </w:r>
            <w:r w:rsidRPr="005504F6">
              <w:rPr>
                <w:b/>
                <w:bCs/>
                <w:lang w:val="en-US"/>
              </w:rPr>
              <w:t>on a serving cell</w:t>
            </w:r>
            <w:r w:rsidRPr="005504F6">
              <w:rPr>
                <w:b/>
                <w:bCs/>
              </w:rPr>
              <w:t xml:space="preserve">, UE shall be </w:t>
            </w:r>
            <w:r w:rsidRPr="005504F6">
              <w:rPr>
                <w:b/>
                <w:bCs/>
                <w:lang w:val="en-US"/>
              </w:rPr>
              <w:t xml:space="preserve">able to receive PDSCH (for DL active BWP switch) or transmit PUSCH (for UL active BWP switch) </w:t>
            </w:r>
            <w:r w:rsidRPr="005504F6">
              <w:rPr>
                <w:b/>
                <w:bCs/>
                <w:lang w:val="en-US"/>
              </w:rPr>
              <w:lastRenderedPageBreak/>
              <w:t>on the new BWP on the serving cell</w:t>
            </w:r>
            <w:r w:rsidRPr="005504F6">
              <w:rPr>
                <w:b/>
                <w:bCs/>
              </w:rPr>
              <w:t xml:space="preserve"> </w:t>
            </w:r>
            <w:r w:rsidRPr="005504F6">
              <w:rPr>
                <w:b/>
                <w:bCs/>
                <w:lang w:val="en-US"/>
              </w:rPr>
              <w:t xml:space="preserve">on which BWP switch </w:t>
            </w:r>
            <w:r w:rsidRPr="005504F6">
              <w:rPr>
                <w:b/>
                <w:bCs/>
              </w:rPr>
              <w:t xml:space="preserve">on the first DL or UL slot </w:t>
            </w:r>
            <w:r w:rsidRPr="005504F6">
              <w:rPr>
                <w:b/>
                <w:bCs/>
                <w:lang w:val="en-US"/>
              </w:rPr>
              <w:t>occurs</w:t>
            </w:r>
            <w:r w:rsidRPr="005504F6">
              <w:rPr>
                <w:b/>
                <w:bCs/>
              </w:rPr>
              <w:t xml:space="preserve"> right after a time duration of </w:t>
            </w:r>
            <w:proofErr w:type="spellStart"/>
            <w:r w:rsidRPr="005504F6">
              <w:rPr>
                <w:b/>
                <w:bCs/>
              </w:rPr>
              <w:t>T</w:t>
            </w:r>
            <w:r w:rsidRPr="005504F6">
              <w:rPr>
                <w:b/>
                <w:bCs/>
                <w:vertAlign w:val="subscript"/>
              </w:rPr>
              <w:t>BWPswitchDelay</w:t>
            </w:r>
            <w:proofErr w:type="spellEnd"/>
            <w:r w:rsidRPr="005504F6">
              <w:rPr>
                <w:b/>
                <w:bCs/>
              </w:rPr>
              <w:t xml:space="preserve"> + Y which starts from the beginning of DL slot n. </w:t>
            </w:r>
            <w:proofErr w:type="gramStart"/>
            <w:r w:rsidRPr="005504F6">
              <w:rPr>
                <w:b/>
                <w:bCs/>
              </w:rPr>
              <w:t>Where</w:t>
            </w:r>
            <w:proofErr w:type="gramEnd"/>
            <w:r w:rsidRPr="005504F6">
              <w:rPr>
                <w:b/>
                <w:bCs/>
              </w:rPr>
              <w:t>,</w:t>
            </w:r>
          </w:p>
          <w:p w14:paraId="12B1FE4C" w14:textId="77777777" w:rsidR="00577166" w:rsidRPr="005504F6" w:rsidRDefault="00577166" w:rsidP="00FC7B2B">
            <w:pPr>
              <w:rPr>
                <w:b/>
                <w:bCs/>
              </w:rPr>
            </w:pPr>
            <w:r w:rsidRPr="005504F6">
              <w:rPr>
                <w:rFonts w:hint="eastAsia"/>
                <w:b/>
                <w:bCs/>
                <w:highlight w:val="yellow"/>
              </w:rPr>
              <w:t>F</w:t>
            </w:r>
            <w:r w:rsidRPr="005504F6">
              <w:rPr>
                <w:b/>
                <w:bCs/>
                <w:highlight w:val="yellow"/>
              </w:rPr>
              <w:t xml:space="preserve">or </w:t>
            </w:r>
            <w:r>
              <w:rPr>
                <w:b/>
                <w:bCs/>
                <w:highlight w:val="yellow"/>
              </w:rPr>
              <w:t xml:space="preserve">FR1 and </w:t>
            </w:r>
            <w:r w:rsidRPr="005504F6">
              <w:rPr>
                <w:b/>
                <w:bCs/>
                <w:highlight w:val="yellow"/>
              </w:rPr>
              <w:t>FR2-1,</w:t>
            </w:r>
          </w:p>
          <w:p w14:paraId="517558AA" w14:textId="77777777" w:rsidR="00577166" w:rsidRPr="005504F6" w:rsidRDefault="00577166" w:rsidP="00FC7B2B">
            <w:pPr>
              <w:pStyle w:val="B1"/>
              <w:rPr>
                <w:b/>
                <w:bCs/>
              </w:rPr>
            </w:pPr>
            <w:r w:rsidRPr="005504F6">
              <w:rPr>
                <w:b/>
                <w:bCs/>
              </w:rPr>
              <w:t>-</w:t>
            </w:r>
            <w:r w:rsidRPr="005504F6">
              <w:rPr>
                <w:b/>
                <w:bCs/>
              </w:rPr>
              <w:tab/>
              <w:t>Y=0, if the serving cell where UE receives DCI for BWP switch request is same as the serving cell on which BWP switch occurs.</w:t>
            </w:r>
          </w:p>
          <w:p w14:paraId="1DD74E4C" w14:textId="77777777" w:rsidR="00577166" w:rsidRPr="005504F6" w:rsidRDefault="00577166" w:rsidP="00FC7B2B">
            <w:pPr>
              <w:pStyle w:val="B1"/>
              <w:rPr>
                <w:b/>
                <w:bCs/>
              </w:rPr>
            </w:pPr>
            <w:r w:rsidRPr="005504F6">
              <w:rPr>
                <w:b/>
                <w:bCs/>
              </w:rPr>
              <w:t>-</w:t>
            </w:r>
            <w:r w:rsidRPr="005504F6">
              <w:rPr>
                <w:b/>
                <w:bCs/>
              </w:rPr>
              <w:tab/>
              <w:t>Y</w:t>
            </w:r>
            <w:r w:rsidRPr="005504F6">
              <w:rPr>
                <w:b/>
                <w:bCs/>
                <w:lang w:val="en-US" w:eastAsia="zh-CN"/>
              </w:rPr>
              <w:t xml:space="preserve"> equals to the length of 1 slot</w:t>
            </w:r>
            <w:r w:rsidRPr="005504F6">
              <w:rPr>
                <w:b/>
                <w:bCs/>
              </w:rPr>
              <w:t xml:space="preserve">, if the serving cell where UE receives DCI for BWP switch is different from the serving cell on which BWP switch occurs for any involved serving cell. In this scenario, </w:t>
            </w:r>
            <w:proofErr w:type="spellStart"/>
            <w:r w:rsidRPr="005504F6">
              <w:rPr>
                <w:b/>
                <w:bCs/>
              </w:rPr>
              <w:t>T</w:t>
            </w:r>
            <w:r w:rsidRPr="005504F6">
              <w:rPr>
                <w:b/>
                <w:bCs/>
                <w:vertAlign w:val="subscript"/>
              </w:rPr>
              <w:t>BWPswitchDelay</w:t>
            </w:r>
            <w:proofErr w:type="spellEnd"/>
            <w:r w:rsidRPr="005504F6">
              <w:rPr>
                <w:b/>
                <w:bCs/>
              </w:rPr>
              <w:t xml:space="preserve"> + Y shall follow the smaller SCS of scheduling cell, scheduled cells before and scheduled cells after active BWP change.</w:t>
            </w:r>
          </w:p>
          <w:p w14:paraId="67E37999" w14:textId="77777777" w:rsidR="00577166" w:rsidRPr="005504F6" w:rsidRDefault="00577166" w:rsidP="00FC7B2B">
            <w:pPr>
              <w:rPr>
                <w:b/>
                <w:bCs/>
                <w:highlight w:val="yellow"/>
              </w:rPr>
            </w:pPr>
            <w:r w:rsidRPr="005504F6">
              <w:rPr>
                <w:rFonts w:hint="eastAsia"/>
                <w:b/>
                <w:bCs/>
                <w:highlight w:val="yellow"/>
              </w:rPr>
              <w:t>F</w:t>
            </w:r>
            <w:r w:rsidRPr="005504F6">
              <w:rPr>
                <w:b/>
                <w:bCs/>
                <w:highlight w:val="yellow"/>
              </w:rPr>
              <w:t>or FR2-2,</w:t>
            </w:r>
          </w:p>
          <w:p w14:paraId="1CBCC112" w14:textId="77777777" w:rsidR="00577166" w:rsidRPr="005504F6" w:rsidRDefault="00577166" w:rsidP="00FC7B2B">
            <w:pPr>
              <w:pStyle w:val="B1"/>
              <w:rPr>
                <w:b/>
                <w:bCs/>
                <w:highlight w:val="yellow"/>
              </w:rPr>
            </w:pPr>
            <w:r w:rsidRPr="005504F6">
              <w:rPr>
                <w:b/>
                <w:bCs/>
                <w:highlight w:val="yellow"/>
              </w:rPr>
              <w:t>-</w:t>
            </w:r>
            <w:r w:rsidRPr="005504F6">
              <w:rPr>
                <w:b/>
                <w:bCs/>
                <w:highlight w:val="yellow"/>
              </w:rPr>
              <w:tab/>
              <w:t>Y=0, if the serving cell where UE receives DCI for BWP switch request is same as the serving cell on which BWP switch occurs.</w:t>
            </w:r>
          </w:p>
          <w:p w14:paraId="104784E4" w14:textId="77777777" w:rsidR="00577166" w:rsidRPr="00175748" w:rsidRDefault="00577166" w:rsidP="00FC7B2B">
            <w:pPr>
              <w:pStyle w:val="B1"/>
              <w:ind w:leftChars="150" w:left="501" w:hangingChars="100" w:hanging="201"/>
              <w:rPr>
                <w:lang w:val="en-US" w:eastAsia="zh-CN"/>
              </w:rPr>
            </w:pPr>
            <w:r w:rsidRPr="005504F6">
              <w:rPr>
                <w:b/>
                <w:bCs/>
                <w:highlight w:val="yellow"/>
              </w:rPr>
              <w:t>-</w:t>
            </w:r>
            <w:r w:rsidRPr="005504F6">
              <w:rPr>
                <w:b/>
                <w:bCs/>
                <w:highlight w:val="yellow"/>
              </w:rPr>
              <w:tab/>
              <w:t>Y</w:t>
            </w:r>
            <w:r w:rsidRPr="005504F6">
              <w:rPr>
                <w:b/>
                <w:bCs/>
                <w:highlight w:val="yellow"/>
                <w:lang w:val="en-US" w:eastAsia="zh-CN"/>
              </w:rPr>
              <w:t xml:space="preserve"> equals to the length of 1 slot</w:t>
            </w:r>
            <w:r w:rsidRPr="005504F6">
              <w:rPr>
                <w:b/>
                <w:bCs/>
                <w:highlight w:val="yellow"/>
              </w:rPr>
              <w:t xml:space="preserve">, if the serving cell where UE receives DCI for BWP switch is different from the serving cell on which BWP switch occurs for any involved serving cell. In this scenario, </w:t>
            </w:r>
            <w:proofErr w:type="spellStart"/>
            <w:r w:rsidRPr="005504F6">
              <w:rPr>
                <w:b/>
                <w:bCs/>
                <w:highlight w:val="yellow"/>
              </w:rPr>
              <w:t>T</w:t>
            </w:r>
            <w:r w:rsidRPr="005504F6">
              <w:rPr>
                <w:b/>
                <w:bCs/>
                <w:highlight w:val="yellow"/>
                <w:vertAlign w:val="subscript"/>
              </w:rPr>
              <w:t>BWPswitchDelay</w:t>
            </w:r>
            <w:proofErr w:type="spellEnd"/>
            <w:r w:rsidRPr="005504F6">
              <w:rPr>
                <w:b/>
                <w:bCs/>
                <w:highlight w:val="yellow"/>
              </w:rPr>
              <w:t xml:space="preserve"> + Y shall follow the 120kHz SCS.</w:t>
            </w:r>
          </w:p>
        </w:tc>
      </w:tr>
    </w:tbl>
    <w:p w14:paraId="1B4EFDD3" w14:textId="77777777" w:rsidR="00577166" w:rsidRDefault="00577166" w:rsidP="00577166">
      <w:pPr>
        <w:jc w:val="both"/>
        <w:rPr>
          <w:b/>
          <w:bCs/>
        </w:rPr>
      </w:pPr>
    </w:p>
    <w:p w14:paraId="75723A38" w14:textId="469E7515" w:rsidR="00577166" w:rsidRPr="005504F6" w:rsidRDefault="00577166" w:rsidP="00577166">
      <w:pPr>
        <w:jc w:val="both"/>
        <w:rPr>
          <w:b/>
          <w:bCs/>
        </w:rPr>
      </w:pPr>
      <w:r w:rsidRPr="005504F6">
        <w:rPr>
          <w:b/>
          <w:bCs/>
        </w:rPr>
        <w:t xml:space="preserve">Proposal </w:t>
      </w:r>
      <w:r>
        <w:rPr>
          <w:b/>
          <w:bCs/>
        </w:rPr>
        <w:t>2</w:t>
      </w:r>
      <w:r w:rsidRPr="005504F6">
        <w:rPr>
          <w:b/>
          <w:bCs/>
        </w:rPr>
        <w:t xml:space="preserve">: </w:t>
      </w:r>
      <w:r w:rsidR="00352E0A">
        <w:rPr>
          <w:b/>
          <w:bCs/>
        </w:rPr>
        <w:t>T</w:t>
      </w:r>
      <w:r w:rsidR="00352E0A" w:rsidRPr="005504F6">
        <w:rPr>
          <w:b/>
          <w:bCs/>
        </w:rPr>
        <w:t xml:space="preserve">he active BWP switching delay requirements </w:t>
      </w:r>
      <w:r w:rsidR="00352E0A">
        <w:rPr>
          <w:b/>
          <w:bCs/>
        </w:rPr>
        <w:t xml:space="preserve">when </w:t>
      </w:r>
      <w:r w:rsidR="00352E0A" w:rsidRPr="001A008A">
        <w:rPr>
          <w:b/>
          <w:bCs/>
        </w:rPr>
        <w:t>one of the two BWPs in a BWP switching is a dormant BWP</w:t>
      </w:r>
      <w:r w:rsidR="00352E0A" w:rsidRPr="005504F6">
        <w:rPr>
          <w:b/>
          <w:bCs/>
        </w:rPr>
        <w:t xml:space="preserve"> for FR2-2 </w:t>
      </w:r>
      <w:r w:rsidR="00352E0A">
        <w:rPr>
          <w:rFonts w:hint="eastAsia"/>
          <w:b/>
          <w:bCs/>
        </w:rPr>
        <w:t>should</w:t>
      </w:r>
      <w:r w:rsidR="00352E0A">
        <w:rPr>
          <w:b/>
          <w:bCs/>
        </w:rPr>
        <w:t xml:space="preserve"> </w:t>
      </w:r>
      <w:r w:rsidR="00352E0A">
        <w:rPr>
          <w:rFonts w:hint="eastAsia"/>
          <w:b/>
          <w:bCs/>
        </w:rPr>
        <w:t>be</w:t>
      </w:r>
      <w:r w:rsidR="00352E0A">
        <w:rPr>
          <w:b/>
          <w:bCs/>
        </w:rPr>
        <w:t xml:space="preserve"> </w:t>
      </w:r>
      <w:r w:rsidR="00352E0A">
        <w:rPr>
          <w:rFonts w:hint="eastAsia"/>
          <w:b/>
          <w:bCs/>
        </w:rPr>
        <w:t>updated</w:t>
      </w:r>
      <w:r w:rsidR="00352E0A">
        <w:rPr>
          <w:b/>
          <w:bCs/>
        </w:rPr>
        <w:t xml:space="preserve"> </w:t>
      </w:r>
      <w:r w:rsidR="00352E0A" w:rsidRPr="005504F6">
        <w:rPr>
          <w:b/>
          <w:bCs/>
        </w:rPr>
        <w:t>as below:</w:t>
      </w:r>
    </w:p>
    <w:tbl>
      <w:tblPr>
        <w:tblStyle w:val="af"/>
        <w:tblW w:w="0" w:type="auto"/>
        <w:tblLook w:val="04A0" w:firstRow="1" w:lastRow="0" w:firstColumn="1" w:lastColumn="0" w:noHBand="0" w:noVBand="1"/>
      </w:tblPr>
      <w:tblGrid>
        <w:gridCol w:w="9631"/>
      </w:tblGrid>
      <w:tr w:rsidR="00577166" w14:paraId="71144B2C" w14:textId="77777777" w:rsidTr="00FC7B2B">
        <w:tc>
          <w:tcPr>
            <w:tcW w:w="9631" w:type="dxa"/>
          </w:tcPr>
          <w:p w14:paraId="3A306384" w14:textId="77777777" w:rsidR="00577166" w:rsidRPr="001A008A" w:rsidRDefault="00577166" w:rsidP="00FC7B2B">
            <w:pPr>
              <w:rPr>
                <w:b/>
                <w:bCs/>
              </w:rPr>
            </w:pPr>
            <w:r w:rsidRPr="001A008A">
              <w:rPr>
                <w:b/>
                <w:bCs/>
              </w:rPr>
              <w:t>If the BWP switch is triggered within or outside DRX active time, and one of the two BWPs in a BWP switching is a dormant BWP [TS 38.321, 7], UE shall be able to complete active BWP switching within the time duration of</w:t>
            </w:r>
          </w:p>
          <w:p w14:paraId="6D668B74" w14:textId="77777777" w:rsidR="00577166" w:rsidRPr="001A008A" w:rsidRDefault="00577166" w:rsidP="00FC7B2B">
            <w:pPr>
              <w:pStyle w:val="B1"/>
              <w:rPr>
                <w:b/>
                <w:bCs/>
              </w:rPr>
            </w:pPr>
            <w:r w:rsidRPr="001A008A">
              <w:rPr>
                <w:b/>
                <w:bCs/>
              </w:rPr>
              <w:t>-</w:t>
            </w:r>
            <w:r w:rsidRPr="001A008A">
              <w:rPr>
                <w:b/>
                <w:bCs/>
              </w:rPr>
              <w:tab/>
            </w:r>
            <w:proofErr w:type="spellStart"/>
            <w:r w:rsidRPr="001A008A">
              <w:rPr>
                <w:b/>
                <w:bCs/>
              </w:rPr>
              <w:t>T</w:t>
            </w:r>
            <w:r w:rsidRPr="001A008A">
              <w:rPr>
                <w:b/>
                <w:bCs/>
                <w:vertAlign w:val="subscript"/>
              </w:rPr>
              <w:t>dormantBWPswitchDelay</w:t>
            </w:r>
            <w:proofErr w:type="spellEnd"/>
            <w:r w:rsidRPr="001A008A">
              <w:rPr>
                <w:b/>
                <w:bCs/>
              </w:rPr>
              <w:t xml:space="preserve"> =</w:t>
            </w:r>
            <w:proofErr w:type="spellStart"/>
            <w:r w:rsidRPr="001A008A">
              <w:rPr>
                <w:b/>
                <w:bCs/>
              </w:rPr>
              <w:t>T</w:t>
            </w:r>
            <w:r w:rsidRPr="001A008A">
              <w:rPr>
                <w:b/>
                <w:bCs/>
                <w:vertAlign w:val="subscript"/>
              </w:rPr>
              <w:t>BWPswitchDelay</w:t>
            </w:r>
            <w:proofErr w:type="spellEnd"/>
            <w:r w:rsidRPr="001A008A">
              <w:rPr>
                <w:b/>
                <w:bCs/>
              </w:rPr>
              <w:t xml:space="preserve">+ X, provided that the dormancy indication is received in any of the first 3 OFDM symbols of a slot in the serving cell where DCI for dormancy indication is </w:t>
            </w:r>
            <w:proofErr w:type="spellStart"/>
            <w:r w:rsidRPr="001A008A">
              <w:rPr>
                <w:b/>
                <w:bCs/>
              </w:rPr>
              <w:t>receiveds</w:t>
            </w:r>
            <w:proofErr w:type="spellEnd"/>
            <w:r w:rsidRPr="001A008A">
              <w:rPr>
                <w:b/>
                <w:bCs/>
              </w:rPr>
              <w:t>, or</w:t>
            </w:r>
          </w:p>
          <w:p w14:paraId="1200CC71" w14:textId="77777777" w:rsidR="00577166" w:rsidRPr="001A008A" w:rsidRDefault="00577166" w:rsidP="00FC7B2B">
            <w:pPr>
              <w:pStyle w:val="B1"/>
              <w:rPr>
                <w:b/>
                <w:bCs/>
              </w:rPr>
            </w:pPr>
            <w:r w:rsidRPr="001A008A">
              <w:rPr>
                <w:b/>
                <w:bCs/>
              </w:rPr>
              <w:t>-</w:t>
            </w:r>
            <w:r w:rsidRPr="001A008A">
              <w:rPr>
                <w:b/>
                <w:bCs/>
              </w:rPr>
              <w:tab/>
            </w:r>
            <w:proofErr w:type="spellStart"/>
            <w:r w:rsidRPr="001A008A">
              <w:rPr>
                <w:b/>
                <w:bCs/>
              </w:rPr>
              <w:t>T</w:t>
            </w:r>
            <w:r w:rsidRPr="001A008A">
              <w:rPr>
                <w:b/>
                <w:bCs/>
                <w:vertAlign w:val="subscript"/>
              </w:rPr>
              <w:t>dormantBWPswitchDelay</w:t>
            </w:r>
            <w:proofErr w:type="spellEnd"/>
            <w:r w:rsidRPr="001A008A">
              <w:rPr>
                <w:b/>
                <w:bCs/>
              </w:rPr>
              <w:t xml:space="preserve"> =</w:t>
            </w:r>
            <w:proofErr w:type="spellStart"/>
            <w:r w:rsidRPr="001A008A">
              <w:rPr>
                <w:b/>
                <w:bCs/>
              </w:rPr>
              <w:t>T</w:t>
            </w:r>
            <w:r w:rsidRPr="001A008A">
              <w:rPr>
                <w:b/>
                <w:bCs/>
                <w:vertAlign w:val="subscript"/>
              </w:rPr>
              <w:t>BWPswitchDelay</w:t>
            </w:r>
            <w:proofErr w:type="spellEnd"/>
            <w:r w:rsidRPr="001A008A">
              <w:rPr>
                <w:b/>
                <w:bCs/>
              </w:rPr>
              <w:t xml:space="preserve"> + X + Z, provided that the dormancy indication is received after the first 3 OFDM symbols of a slot in the serving cell where DCI for dormancy indication is received, where </w:t>
            </w:r>
          </w:p>
          <w:p w14:paraId="43AFC2B9" w14:textId="77777777" w:rsidR="00577166" w:rsidRDefault="00577166" w:rsidP="00FC7B2B">
            <w:pPr>
              <w:pStyle w:val="B1"/>
              <w:rPr>
                <w:b/>
                <w:bCs/>
              </w:rPr>
            </w:pPr>
            <w:r w:rsidRPr="001A008A">
              <w:rPr>
                <w:b/>
                <w:bCs/>
              </w:rPr>
              <w:t>-</w:t>
            </w:r>
            <w:r w:rsidRPr="001A008A">
              <w:rPr>
                <w:b/>
                <w:bCs/>
              </w:rPr>
              <w:tab/>
            </w:r>
            <w:proofErr w:type="spellStart"/>
            <w:r w:rsidRPr="001A008A">
              <w:rPr>
                <w:b/>
                <w:bCs/>
              </w:rPr>
              <w:t>T</w:t>
            </w:r>
            <w:r w:rsidRPr="001A008A">
              <w:rPr>
                <w:b/>
                <w:bCs/>
                <w:vertAlign w:val="subscript"/>
              </w:rPr>
              <w:t>BWPswitchDelay</w:t>
            </w:r>
            <w:proofErr w:type="spellEnd"/>
            <w:r w:rsidRPr="001A008A">
              <w:rPr>
                <w:b/>
                <w:bCs/>
              </w:rP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8CE0B79" w14:textId="77777777" w:rsidR="00577166" w:rsidRPr="00577166" w:rsidRDefault="00577166" w:rsidP="00FC7B2B">
            <w:pPr>
              <w:pStyle w:val="B1"/>
              <w:rPr>
                <w:b/>
                <w:bCs/>
                <w:highlight w:val="yellow"/>
                <w:lang w:eastAsia="zh-CN"/>
              </w:rPr>
            </w:pPr>
            <w:r w:rsidRPr="00577166">
              <w:rPr>
                <w:rFonts w:hint="eastAsia"/>
                <w:b/>
                <w:bCs/>
                <w:highlight w:val="yellow"/>
                <w:lang w:eastAsia="zh-CN"/>
              </w:rPr>
              <w:t>F</w:t>
            </w:r>
            <w:r w:rsidRPr="00577166">
              <w:rPr>
                <w:b/>
                <w:bCs/>
                <w:highlight w:val="yellow"/>
                <w:lang w:eastAsia="zh-CN"/>
              </w:rPr>
              <w:t>or FR1 and FR2-1</w:t>
            </w:r>
            <w:r w:rsidRPr="00577166">
              <w:rPr>
                <w:rFonts w:hint="eastAsia"/>
                <w:b/>
                <w:bCs/>
                <w:highlight w:val="yellow"/>
                <w:lang w:eastAsia="zh-CN"/>
              </w:rPr>
              <w:t>,</w:t>
            </w:r>
          </w:p>
          <w:p w14:paraId="239AF9C0" w14:textId="77777777" w:rsidR="00577166" w:rsidRPr="00577166" w:rsidRDefault="00577166" w:rsidP="00FC7B2B">
            <w:pPr>
              <w:pStyle w:val="B1"/>
              <w:rPr>
                <w:b/>
                <w:bCs/>
                <w:highlight w:val="yellow"/>
              </w:rPr>
            </w:pPr>
            <w:r w:rsidRPr="00577166">
              <w:rPr>
                <w:b/>
                <w:bCs/>
                <w:highlight w:val="yellow"/>
              </w:rPr>
              <w:t>-</w:t>
            </w:r>
            <w:r w:rsidRPr="00577166">
              <w:rPr>
                <w:b/>
                <w:bCs/>
                <w:highlight w:val="yellow"/>
              </w:rPr>
              <w:tab/>
            </w:r>
            <w:r w:rsidRPr="00577166">
              <w:rPr>
                <w:b/>
                <w:bCs/>
                <w:highlight w:val="yellow"/>
                <w:lang w:val="en-US" w:eastAsia="zh-CN"/>
              </w:rPr>
              <w:t xml:space="preserve">X equals to the length of 1 slot </w:t>
            </w:r>
            <w:r w:rsidRPr="00577166">
              <w:rPr>
                <w:b/>
                <w:bCs/>
                <w:highlight w:val="yellow"/>
              </w:rPr>
              <w:t>corresponding to the smallest value among the SCS of the serving cell where UE receives dormancy indication and the SCSs of the dormant BWP and the active BWP immediately before or after switching the BWP of the serving cell where BWP switching occurs.</w:t>
            </w:r>
          </w:p>
          <w:p w14:paraId="0B6BF798" w14:textId="77777777" w:rsidR="00577166" w:rsidRPr="00577166" w:rsidRDefault="00577166" w:rsidP="00FC7B2B">
            <w:pPr>
              <w:pStyle w:val="B1"/>
              <w:rPr>
                <w:b/>
                <w:bCs/>
                <w:highlight w:val="yellow"/>
              </w:rPr>
            </w:pPr>
            <w:r w:rsidRPr="00577166">
              <w:rPr>
                <w:b/>
                <w:bCs/>
                <w:highlight w:val="yellow"/>
              </w:rPr>
              <w:t>-</w:t>
            </w:r>
            <w:r w:rsidRPr="00577166">
              <w:rPr>
                <w:b/>
                <w:bCs/>
                <w:highlight w:val="yellow"/>
              </w:rPr>
              <w:tab/>
              <w:t>Z equals to the length of 1 slot corresponding to the SCS of the serving cell where UE receives dormancy indication</w:t>
            </w:r>
          </w:p>
          <w:p w14:paraId="48064894" w14:textId="77777777" w:rsidR="00577166" w:rsidRPr="00577166" w:rsidRDefault="00577166" w:rsidP="00FC7B2B">
            <w:pPr>
              <w:pStyle w:val="B1"/>
              <w:rPr>
                <w:b/>
                <w:bCs/>
                <w:highlight w:val="yellow"/>
                <w:lang w:eastAsia="zh-CN"/>
              </w:rPr>
            </w:pPr>
            <w:r w:rsidRPr="00577166">
              <w:rPr>
                <w:rFonts w:hint="eastAsia"/>
                <w:b/>
                <w:bCs/>
                <w:highlight w:val="yellow"/>
                <w:lang w:eastAsia="zh-CN"/>
              </w:rPr>
              <w:t>F</w:t>
            </w:r>
            <w:r w:rsidRPr="00577166">
              <w:rPr>
                <w:b/>
                <w:bCs/>
                <w:highlight w:val="yellow"/>
                <w:lang w:eastAsia="zh-CN"/>
              </w:rPr>
              <w:t>or FR2-2,</w:t>
            </w:r>
          </w:p>
          <w:p w14:paraId="341B1EBF" w14:textId="77777777" w:rsidR="00577166" w:rsidRPr="00577166" w:rsidRDefault="00577166" w:rsidP="00FC7B2B">
            <w:pPr>
              <w:pStyle w:val="B1"/>
              <w:rPr>
                <w:b/>
                <w:bCs/>
                <w:highlight w:val="yellow"/>
              </w:rPr>
            </w:pPr>
            <w:r w:rsidRPr="00577166">
              <w:rPr>
                <w:b/>
                <w:bCs/>
                <w:highlight w:val="yellow"/>
              </w:rPr>
              <w:t>-</w:t>
            </w:r>
            <w:r w:rsidRPr="00577166">
              <w:rPr>
                <w:b/>
                <w:bCs/>
                <w:highlight w:val="yellow"/>
              </w:rPr>
              <w:tab/>
            </w:r>
            <w:r w:rsidRPr="00577166">
              <w:rPr>
                <w:b/>
                <w:bCs/>
                <w:highlight w:val="yellow"/>
                <w:lang w:val="en-US" w:eastAsia="zh-CN"/>
              </w:rPr>
              <w:t>X equals to the length of 1 slot of 120kHz.</w:t>
            </w:r>
          </w:p>
          <w:p w14:paraId="0F775C15" w14:textId="77777777" w:rsidR="00577166" w:rsidRPr="001A008A" w:rsidRDefault="00577166" w:rsidP="00FC7B2B">
            <w:pPr>
              <w:pStyle w:val="B1"/>
              <w:rPr>
                <w:b/>
                <w:bCs/>
              </w:rPr>
            </w:pPr>
            <w:r w:rsidRPr="00577166">
              <w:rPr>
                <w:b/>
                <w:bCs/>
                <w:highlight w:val="yellow"/>
              </w:rPr>
              <w:t>-</w:t>
            </w:r>
            <w:r w:rsidRPr="00577166">
              <w:rPr>
                <w:b/>
                <w:bCs/>
                <w:highlight w:val="yellow"/>
              </w:rPr>
              <w:tab/>
              <w:t>Z equals to the length of 1 slot corresponding to the SCS of the serving cell where UE receives dormancy indication.</w:t>
            </w:r>
          </w:p>
        </w:tc>
      </w:tr>
    </w:tbl>
    <w:p w14:paraId="75706F7E" w14:textId="77777777" w:rsidR="00577166" w:rsidRPr="008C12A3" w:rsidRDefault="00577166" w:rsidP="00631004">
      <w:pPr>
        <w:jc w:val="both"/>
        <w:rPr>
          <w:b/>
          <w:bCs/>
        </w:rPr>
      </w:pPr>
    </w:p>
    <w:p w14:paraId="41AD21AA" w14:textId="53EB5287" w:rsidR="00F62E9E" w:rsidRDefault="00174A69" w:rsidP="00F62E9E">
      <w:pPr>
        <w:pStyle w:val="1"/>
        <w:numPr>
          <w:ilvl w:val="0"/>
          <w:numId w:val="0"/>
        </w:numPr>
        <w:rPr>
          <w:rFonts w:ascii="Times New Roman" w:hAnsi="Times New Roman"/>
        </w:rPr>
      </w:pPr>
      <w:r w:rsidRPr="00086BFD">
        <w:rPr>
          <w:rFonts w:ascii="Times New Roman" w:hAnsi="Times New Roman"/>
        </w:rPr>
        <w:t>References</w:t>
      </w:r>
    </w:p>
    <w:p w14:paraId="05C9E69A" w14:textId="451AFE41" w:rsidR="00F62E9E" w:rsidRPr="004A1AEE" w:rsidRDefault="00F62E9E" w:rsidP="00F62E9E">
      <w:r>
        <w:rPr>
          <w:rFonts w:hint="eastAsia"/>
        </w:rPr>
        <w:t>[</w:t>
      </w:r>
      <w:r>
        <w:t>1] R4-21</w:t>
      </w:r>
      <w:r w:rsidR="004A1AEE">
        <w:t xml:space="preserve">20317 </w:t>
      </w:r>
      <w:r w:rsidR="004A1AEE" w:rsidRPr="004A1AEE">
        <w:t>WF on NR extension to 71 GHz RRM requirements (Part 2)</w:t>
      </w:r>
      <w:r w:rsidR="004A1AEE">
        <w:t>, Intel</w:t>
      </w:r>
    </w:p>
    <w:p w14:paraId="240FCF87" w14:textId="4A38BD1D" w:rsidR="000D0729" w:rsidRPr="00B2512A" w:rsidRDefault="00CF62D1" w:rsidP="00B2512A">
      <w:pPr>
        <w:tabs>
          <w:tab w:val="left" w:pos="3545"/>
        </w:tabs>
        <w:ind w:left="2268" w:hanging="2268"/>
      </w:pPr>
      <w:r>
        <w:rPr>
          <w:rFonts w:hint="eastAsia"/>
        </w:rPr>
        <w:t>[</w:t>
      </w:r>
      <w:r>
        <w:t>2] R4-</w:t>
      </w:r>
      <w:r w:rsidR="004A1AEE">
        <w:t xml:space="preserve">2012278 </w:t>
      </w:r>
      <w:r w:rsidR="004A1AEE" w:rsidRPr="004A1AEE">
        <w:rPr>
          <w:lang w:val="sv-SE"/>
        </w:rPr>
        <w:t>Way Forward on SCell Dormancy</w:t>
      </w:r>
      <w:r w:rsidR="004A1AEE">
        <w:rPr>
          <w:lang w:val="sv-SE"/>
        </w:rPr>
        <w:t>, Ericsson</w:t>
      </w:r>
    </w:p>
    <w:sectPr w:rsidR="000D0729" w:rsidRPr="00B2512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1A9D6" w14:textId="77777777" w:rsidR="003609C4" w:rsidRDefault="003609C4" w:rsidP="00174A69">
      <w:pPr>
        <w:spacing w:after="0"/>
      </w:pPr>
      <w:r>
        <w:separator/>
      </w:r>
    </w:p>
  </w:endnote>
  <w:endnote w:type="continuationSeparator" w:id="0">
    <w:p w14:paraId="39D7F253" w14:textId="77777777" w:rsidR="003609C4" w:rsidRDefault="003609C4"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7E6C12"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C8802" w14:textId="77777777" w:rsidR="003609C4" w:rsidRDefault="003609C4" w:rsidP="00174A69">
      <w:pPr>
        <w:spacing w:after="0"/>
      </w:pPr>
      <w:r>
        <w:separator/>
      </w:r>
    </w:p>
  </w:footnote>
  <w:footnote w:type="continuationSeparator" w:id="0">
    <w:p w14:paraId="43E883E2" w14:textId="77777777" w:rsidR="003609C4" w:rsidRDefault="003609C4"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4927A1"/>
    <w:multiLevelType w:val="hybridMultilevel"/>
    <w:tmpl w:val="ED464DD2"/>
    <w:lvl w:ilvl="0" w:tplc="077EC5C2">
      <w:start w:val="1"/>
      <w:numFmt w:val="bullet"/>
      <w:lvlText w:val="─"/>
      <w:lvlJc w:val="left"/>
      <w:pPr>
        <w:tabs>
          <w:tab w:val="num" w:pos="720"/>
        </w:tabs>
        <w:ind w:left="720" w:hanging="360"/>
      </w:pPr>
      <w:rPr>
        <w:rFonts w:ascii="Calibri" w:hAnsi="Calibri" w:hint="default"/>
      </w:rPr>
    </w:lvl>
    <w:lvl w:ilvl="1" w:tplc="41E416A6">
      <w:start w:val="1"/>
      <w:numFmt w:val="bullet"/>
      <w:lvlText w:val="─"/>
      <w:lvlJc w:val="left"/>
      <w:pPr>
        <w:tabs>
          <w:tab w:val="num" w:pos="1440"/>
        </w:tabs>
        <w:ind w:left="1440" w:hanging="360"/>
      </w:pPr>
      <w:rPr>
        <w:rFonts w:ascii="Calibri" w:hAnsi="Calibri" w:hint="default"/>
      </w:rPr>
    </w:lvl>
    <w:lvl w:ilvl="2" w:tplc="2CC015DA">
      <w:numFmt w:val="bullet"/>
      <w:lvlText w:val=""/>
      <w:lvlJc w:val="left"/>
      <w:pPr>
        <w:tabs>
          <w:tab w:val="num" w:pos="2160"/>
        </w:tabs>
        <w:ind w:left="2160" w:hanging="360"/>
      </w:pPr>
      <w:rPr>
        <w:rFonts w:ascii="Wingdings" w:hAnsi="Wingdings" w:hint="default"/>
      </w:rPr>
    </w:lvl>
    <w:lvl w:ilvl="3" w:tplc="94703674" w:tentative="1">
      <w:start w:val="1"/>
      <w:numFmt w:val="bullet"/>
      <w:lvlText w:val="─"/>
      <w:lvlJc w:val="left"/>
      <w:pPr>
        <w:tabs>
          <w:tab w:val="num" w:pos="2880"/>
        </w:tabs>
        <w:ind w:left="2880" w:hanging="360"/>
      </w:pPr>
      <w:rPr>
        <w:rFonts w:ascii="Calibri" w:hAnsi="Calibri" w:hint="default"/>
      </w:rPr>
    </w:lvl>
    <w:lvl w:ilvl="4" w:tplc="5C9430E4" w:tentative="1">
      <w:start w:val="1"/>
      <w:numFmt w:val="bullet"/>
      <w:lvlText w:val="─"/>
      <w:lvlJc w:val="left"/>
      <w:pPr>
        <w:tabs>
          <w:tab w:val="num" w:pos="3600"/>
        </w:tabs>
        <w:ind w:left="3600" w:hanging="360"/>
      </w:pPr>
      <w:rPr>
        <w:rFonts w:ascii="Calibri" w:hAnsi="Calibri" w:hint="default"/>
      </w:rPr>
    </w:lvl>
    <w:lvl w:ilvl="5" w:tplc="1B70EE74" w:tentative="1">
      <w:start w:val="1"/>
      <w:numFmt w:val="bullet"/>
      <w:lvlText w:val="─"/>
      <w:lvlJc w:val="left"/>
      <w:pPr>
        <w:tabs>
          <w:tab w:val="num" w:pos="4320"/>
        </w:tabs>
        <w:ind w:left="4320" w:hanging="360"/>
      </w:pPr>
      <w:rPr>
        <w:rFonts w:ascii="Calibri" w:hAnsi="Calibri" w:hint="default"/>
      </w:rPr>
    </w:lvl>
    <w:lvl w:ilvl="6" w:tplc="9924A178" w:tentative="1">
      <w:start w:val="1"/>
      <w:numFmt w:val="bullet"/>
      <w:lvlText w:val="─"/>
      <w:lvlJc w:val="left"/>
      <w:pPr>
        <w:tabs>
          <w:tab w:val="num" w:pos="5040"/>
        </w:tabs>
        <w:ind w:left="5040" w:hanging="360"/>
      </w:pPr>
      <w:rPr>
        <w:rFonts w:ascii="Calibri" w:hAnsi="Calibri" w:hint="default"/>
      </w:rPr>
    </w:lvl>
    <w:lvl w:ilvl="7" w:tplc="029EA2A0" w:tentative="1">
      <w:start w:val="1"/>
      <w:numFmt w:val="bullet"/>
      <w:lvlText w:val="─"/>
      <w:lvlJc w:val="left"/>
      <w:pPr>
        <w:tabs>
          <w:tab w:val="num" w:pos="5760"/>
        </w:tabs>
        <w:ind w:left="5760" w:hanging="360"/>
      </w:pPr>
      <w:rPr>
        <w:rFonts w:ascii="Calibri" w:hAnsi="Calibri" w:hint="default"/>
      </w:rPr>
    </w:lvl>
    <w:lvl w:ilvl="8" w:tplc="7BD4D4A4"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4270757F"/>
    <w:multiLevelType w:val="hybridMultilevel"/>
    <w:tmpl w:val="BCDCC5E2"/>
    <w:lvl w:ilvl="0" w:tplc="13CE326C">
      <w:start w:val="1"/>
      <w:numFmt w:val="bullet"/>
      <w:lvlText w:val="─"/>
      <w:lvlJc w:val="left"/>
      <w:pPr>
        <w:tabs>
          <w:tab w:val="num" w:pos="720"/>
        </w:tabs>
        <w:ind w:left="720" w:hanging="360"/>
      </w:pPr>
      <w:rPr>
        <w:rFonts w:ascii="Calibri" w:hAnsi="Calibri" w:hint="default"/>
      </w:rPr>
    </w:lvl>
    <w:lvl w:ilvl="1" w:tplc="E3722C56">
      <w:start w:val="1"/>
      <w:numFmt w:val="bullet"/>
      <w:lvlText w:val="─"/>
      <w:lvlJc w:val="left"/>
      <w:pPr>
        <w:tabs>
          <w:tab w:val="num" w:pos="1440"/>
        </w:tabs>
        <w:ind w:left="1440" w:hanging="360"/>
      </w:pPr>
      <w:rPr>
        <w:rFonts w:ascii="Calibri" w:hAnsi="Calibri" w:hint="default"/>
      </w:rPr>
    </w:lvl>
    <w:lvl w:ilvl="2" w:tplc="3EE8AC3A">
      <w:numFmt w:val="bullet"/>
      <w:lvlText w:val=""/>
      <w:lvlJc w:val="left"/>
      <w:pPr>
        <w:tabs>
          <w:tab w:val="num" w:pos="2160"/>
        </w:tabs>
        <w:ind w:left="2160" w:hanging="360"/>
      </w:pPr>
      <w:rPr>
        <w:rFonts w:ascii="Wingdings" w:hAnsi="Wingdings" w:hint="default"/>
      </w:rPr>
    </w:lvl>
    <w:lvl w:ilvl="3" w:tplc="C94E6A5E" w:tentative="1">
      <w:start w:val="1"/>
      <w:numFmt w:val="bullet"/>
      <w:lvlText w:val="─"/>
      <w:lvlJc w:val="left"/>
      <w:pPr>
        <w:tabs>
          <w:tab w:val="num" w:pos="2880"/>
        </w:tabs>
        <w:ind w:left="2880" w:hanging="360"/>
      </w:pPr>
      <w:rPr>
        <w:rFonts w:ascii="Calibri" w:hAnsi="Calibri" w:hint="default"/>
      </w:rPr>
    </w:lvl>
    <w:lvl w:ilvl="4" w:tplc="FA067514" w:tentative="1">
      <w:start w:val="1"/>
      <w:numFmt w:val="bullet"/>
      <w:lvlText w:val="─"/>
      <w:lvlJc w:val="left"/>
      <w:pPr>
        <w:tabs>
          <w:tab w:val="num" w:pos="3600"/>
        </w:tabs>
        <w:ind w:left="3600" w:hanging="360"/>
      </w:pPr>
      <w:rPr>
        <w:rFonts w:ascii="Calibri" w:hAnsi="Calibri" w:hint="default"/>
      </w:rPr>
    </w:lvl>
    <w:lvl w:ilvl="5" w:tplc="1C4E1BCE" w:tentative="1">
      <w:start w:val="1"/>
      <w:numFmt w:val="bullet"/>
      <w:lvlText w:val="─"/>
      <w:lvlJc w:val="left"/>
      <w:pPr>
        <w:tabs>
          <w:tab w:val="num" w:pos="4320"/>
        </w:tabs>
        <w:ind w:left="4320" w:hanging="360"/>
      </w:pPr>
      <w:rPr>
        <w:rFonts w:ascii="Calibri" w:hAnsi="Calibri" w:hint="default"/>
      </w:rPr>
    </w:lvl>
    <w:lvl w:ilvl="6" w:tplc="13226BBE" w:tentative="1">
      <w:start w:val="1"/>
      <w:numFmt w:val="bullet"/>
      <w:lvlText w:val="─"/>
      <w:lvlJc w:val="left"/>
      <w:pPr>
        <w:tabs>
          <w:tab w:val="num" w:pos="5040"/>
        </w:tabs>
        <w:ind w:left="5040" w:hanging="360"/>
      </w:pPr>
      <w:rPr>
        <w:rFonts w:ascii="Calibri" w:hAnsi="Calibri" w:hint="default"/>
      </w:rPr>
    </w:lvl>
    <w:lvl w:ilvl="7" w:tplc="F9D0533C" w:tentative="1">
      <w:start w:val="1"/>
      <w:numFmt w:val="bullet"/>
      <w:lvlText w:val="─"/>
      <w:lvlJc w:val="left"/>
      <w:pPr>
        <w:tabs>
          <w:tab w:val="num" w:pos="5760"/>
        </w:tabs>
        <w:ind w:left="5760" w:hanging="360"/>
      </w:pPr>
      <w:rPr>
        <w:rFonts w:ascii="Calibri" w:hAnsi="Calibri" w:hint="default"/>
      </w:rPr>
    </w:lvl>
    <w:lvl w:ilvl="8" w:tplc="B6440648"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553804D0"/>
    <w:multiLevelType w:val="hybridMultilevel"/>
    <w:tmpl w:val="838ABB68"/>
    <w:lvl w:ilvl="0" w:tplc="F60263CC">
      <w:start w:val="1"/>
      <w:numFmt w:val="bullet"/>
      <w:lvlText w:val="─"/>
      <w:lvlJc w:val="left"/>
      <w:pPr>
        <w:tabs>
          <w:tab w:val="num" w:pos="720"/>
        </w:tabs>
        <w:ind w:left="720" w:hanging="360"/>
      </w:pPr>
      <w:rPr>
        <w:rFonts w:ascii="Calibri" w:hAnsi="Calibri" w:hint="default"/>
      </w:rPr>
    </w:lvl>
    <w:lvl w:ilvl="1" w:tplc="F59AAF16">
      <w:start w:val="1"/>
      <w:numFmt w:val="bullet"/>
      <w:lvlText w:val="─"/>
      <w:lvlJc w:val="left"/>
      <w:pPr>
        <w:tabs>
          <w:tab w:val="num" w:pos="1440"/>
        </w:tabs>
        <w:ind w:left="1440" w:hanging="360"/>
      </w:pPr>
      <w:rPr>
        <w:rFonts w:ascii="Calibri" w:hAnsi="Calibri" w:hint="default"/>
      </w:rPr>
    </w:lvl>
    <w:lvl w:ilvl="2" w:tplc="60809E84">
      <w:numFmt w:val="bullet"/>
      <w:lvlText w:val=""/>
      <w:lvlJc w:val="left"/>
      <w:pPr>
        <w:tabs>
          <w:tab w:val="num" w:pos="2160"/>
        </w:tabs>
        <w:ind w:left="2160" w:hanging="360"/>
      </w:pPr>
      <w:rPr>
        <w:rFonts w:ascii="Wingdings" w:hAnsi="Wingdings" w:hint="default"/>
      </w:rPr>
    </w:lvl>
    <w:lvl w:ilvl="3" w:tplc="A0264D66" w:tentative="1">
      <w:start w:val="1"/>
      <w:numFmt w:val="bullet"/>
      <w:lvlText w:val="─"/>
      <w:lvlJc w:val="left"/>
      <w:pPr>
        <w:tabs>
          <w:tab w:val="num" w:pos="2880"/>
        </w:tabs>
        <w:ind w:left="2880" w:hanging="360"/>
      </w:pPr>
      <w:rPr>
        <w:rFonts w:ascii="Calibri" w:hAnsi="Calibri" w:hint="default"/>
      </w:rPr>
    </w:lvl>
    <w:lvl w:ilvl="4" w:tplc="C08AFB02" w:tentative="1">
      <w:start w:val="1"/>
      <w:numFmt w:val="bullet"/>
      <w:lvlText w:val="─"/>
      <w:lvlJc w:val="left"/>
      <w:pPr>
        <w:tabs>
          <w:tab w:val="num" w:pos="3600"/>
        </w:tabs>
        <w:ind w:left="3600" w:hanging="360"/>
      </w:pPr>
      <w:rPr>
        <w:rFonts w:ascii="Calibri" w:hAnsi="Calibri" w:hint="default"/>
      </w:rPr>
    </w:lvl>
    <w:lvl w:ilvl="5" w:tplc="16A62E7A" w:tentative="1">
      <w:start w:val="1"/>
      <w:numFmt w:val="bullet"/>
      <w:lvlText w:val="─"/>
      <w:lvlJc w:val="left"/>
      <w:pPr>
        <w:tabs>
          <w:tab w:val="num" w:pos="4320"/>
        </w:tabs>
        <w:ind w:left="4320" w:hanging="360"/>
      </w:pPr>
      <w:rPr>
        <w:rFonts w:ascii="Calibri" w:hAnsi="Calibri" w:hint="default"/>
      </w:rPr>
    </w:lvl>
    <w:lvl w:ilvl="6" w:tplc="7256C286" w:tentative="1">
      <w:start w:val="1"/>
      <w:numFmt w:val="bullet"/>
      <w:lvlText w:val="─"/>
      <w:lvlJc w:val="left"/>
      <w:pPr>
        <w:tabs>
          <w:tab w:val="num" w:pos="5040"/>
        </w:tabs>
        <w:ind w:left="5040" w:hanging="360"/>
      </w:pPr>
      <w:rPr>
        <w:rFonts w:ascii="Calibri" w:hAnsi="Calibri" w:hint="default"/>
      </w:rPr>
    </w:lvl>
    <w:lvl w:ilvl="7" w:tplc="3BF80D26" w:tentative="1">
      <w:start w:val="1"/>
      <w:numFmt w:val="bullet"/>
      <w:lvlText w:val="─"/>
      <w:lvlJc w:val="left"/>
      <w:pPr>
        <w:tabs>
          <w:tab w:val="num" w:pos="5760"/>
        </w:tabs>
        <w:ind w:left="5760" w:hanging="360"/>
      </w:pPr>
      <w:rPr>
        <w:rFonts w:ascii="Calibri" w:hAnsi="Calibri" w:hint="default"/>
      </w:rPr>
    </w:lvl>
    <w:lvl w:ilvl="8" w:tplc="A57AC51E"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2"/>
  </w:num>
  <w:num w:numId="3">
    <w:abstractNumId w:val="11"/>
  </w:num>
  <w:num w:numId="4">
    <w:abstractNumId w:val="1"/>
  </w:num>
  <w:num w:numId="5">
    <w:abstractNumId w:val="5"/>
  </w:num>
  <w:num w:numId="6">
    <w:abstractNumId w:val="2"/>
  </w:num>
  <w:num w:numId="7">
    <w:abstractNumId w:val="10"/>
  </w:num>
  <w:num w:numId="8">
    <w:abstractNumId w:val="3"/>
  </w:num>
  <w:num w:numId="9">
    <w:abstractNumId w:val="0"/>
  </w:num>
  <w:num w:numId="10">
    <w:abstractNumId w:val="9"/>
  </w:num>
  <w:num w:numId="11">
    <w:abstractNumId w:val="7"/>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10E55"/>
    <w:rsid w:val="00035F9B"/>
    <w:rsid w:val="00043629"/>
    <w:rsid w:val="00044578"/>
    <w:rsid w:val="00053D40"/>
    <w:rsid w:val="00060BAC"/>
    <w:rsid w:val="000809A4"/>
    <w:rsid w:val="00086AC2"/>
    <w:rsid w:val="00094A8D"/>
    <w:rsid w:val="00095A5B"/>
    <w:rsid w:val="000D0729"/>
    <w:rsid w:val="000D5768"/>
    <w:rsid w:val="000E157B"/>
    <w:rsid w:val="00123959"/>
    <w:rsid w:val="00131346"/>
    <w:rsid w:val="0014021C"/>
    <w:rsid w:val="001421FC"/>
    <w:rsid w:val="0015562F"/>
    <w:rsid w:val="00171A8C"/>
    <w:rsid w:val="00174A69"/>
    <w:rsid w:val="00175748"/>
    <w:rsid w:val="00190226"/>
    <w:rsid w:val="001A008A"/>
    <w:rsid w:val="001C6F3F"/>
    <w:rsid w:val="001D534B"/>
    <w:rsid w:val="0024524E"/>
    <w:rsid w:val="0024528B"/>
    <w:rsid w:val="002606C4"/>
    <w:rsid w:val="0026214A"/>
    <w:rsid w:val="00297E0A"/>
    <w:rsid w:val="002A34AC"/>
    <w:rsid w:val="002A6F0C"/>
    <w:rsid w:val="002B549C"/>
    <w:rsid w:val="00303271"/>
    <w:rsid w:val="00303362"/>
    <w:rsid w:val="00352E0A"/>
    <w:rsid w:val="003609C4"/>
    <w:rsid w:val="00372E83"/>
    <w:rsid w:val="003802EA"/>
    <w:rsid w:val="003A761A"/>
    <w:rsid w:val="003B21B0"/>
    <w:rsid w:val="003B41FA"/>
    <w:rsid w:val="003C0000"/>
    <w:rsid w:val="003D3172"/>
    <w:rsid w:val="00400CD6"/>
    <w:rsid w:val="0040474E"/>
    <w:rsid w:val="00426714"/>
    <w:rsid w:val="004415BF"/>
    <w:rsid w:val="00443B10"/>
    <w:rsid w:val="0045141D"/>
    <w:rsid w:val="004537A7"/>
    <w:rsid w:val="00475AEF"/>
    <w:rsid w:val="00496BF4"/>
    <w:rsid w:val="004A1AEE"/>
    <w:rsid w:val="004C33E0"/>
    <w:rsid w:val="004C7187"/>
    <w:rsid w:val="004D07DF"/>
    <w:rsid w:val="004D1BAF"/>
    <w:rsid w:val="004D4678"/>
    <w:rsid w:val="00502642"/>
    <w:rsid w:val="00542981"/>
    <w:rsid w:val="005504F6"/>
    <w:rsid w:val="005610E7"/>
    <w:rsid w:val="005646A5"/>
    <w:rsid w:val="00577166"/>
    <w:rsid w:val="005823BD"/>
    <w:rsid w:val="005A2909"/>
    <w:rsid w:val="005D5331"/>
    <w:rsid w:val="005E348D"/>
    <w:rsid w:val="00631004"/>
    <w:rsid w:val="00641237"/>
    <w:rsid w:val="0066221D"/>
    <w:rsid w:val="00682394"/>
    <w:rsid w:val="006879B9"/>
    <w:rsid w:val="006A1AAD"/>
    <w:rsid w:val="00732A53"/>
    <w:rsid w:val="00756C96"/>
    <w:rsid w:val="00764DE6"/>
    <w:rsid w:val="007B3309"/>
    <w:rsid w:val="007C10F2"/>
    <w:rsid w:val="007D04F0"/>
    <w:rsid w:val="007F4A1C"/>
    <w:rsid w:val="00854E64"/>
    <w:rsid w:val="00873AD3"/>
    <w:rsid w:val="0087626A"/>
    <w:rsid w:val="0087700D"/>
    <w:rsid w:val="008934B0"/>
    <w:rsid w:val="008A0FF8"/>
    <w:rsid w:val="008B5C68"/>
    <w:rsid w:val="008C12A3"/>
    <w:rsid w:val="00903E3D"/>
    <w:rsid w:val="00923A54"/>
    <w:rsid w:val="009407D8"/>
    <w:rsid w:val="0096495B"/>
    <w:rsid w:val="00965A7D"/>
    <w:rsid w:val="009705D0"/>
    <w:rsid w:val="0099493F"/>
    <w:rsid w:val="00994F11"/>
    <w:rsid w:val="009A3874"/>
    <w:rsid w:val="009D44DA"/>
    <w:rsid w:val="00A146DC"/>
    <w:rsid w:val="00A16445"/>
    <w:rsid w:val="00A6390A"/>
    <w:rsid w:val="00A92CFD"/>
    <w:rsid w:val="00AB637F"/>
    <w:rsid w:val="00AD4C00"/>
    <w:rsid w:val="00AD5E58"/>
    <w:rsid w:val="00B02085"/>
    <w:rsid w:val="00B035EB"/>
    <w:rsid w:val="00B2512A"/>
    <w:rsid w:val="00B8062A"/>
    <w:rsid w:val="00B90F2F"/>
    <w:rsid w:val="00B928A8"/>
    <w:rsid w:val="00B95855"/>
    <w:rsid w:val="00B9774E"/>
    <w:rsid w:val="00BB724D"/>
    <w:rsid w:val="00BC3B6E"/>
    <w:rsid w:val="00BD0E1A"/>
    <w:rsid w:val="00BE183D"/>
    <w:rsid w:val="00C03953"/>
    <w:rsid w:val="00C54FC3"/>
    <w:rsid w:val="00C70EF3"/>
    <w:rsid w:val="00C93307"/>
    <w:rsid w:val="00CB3EBC"/>
    <w:rsid w:val="00CD0F55"/>
    <w:rsid w:val="00CD7648"/>
    <w:rsid w:val="00CF62D1"/>
    <w:rsid w:val="00D2146E"/>
    <w:rsid w:val="00D22275"/>
    <w:rsid w:val="00D26191"/>
    <w:rsid w:val="00D33AC4"/>
    <w:rsid w:val="00D341B2"/>
    <w:rsid w:val="00D353C5"/>
    <w:rsid w:val="00DB6297"/>
    <w:rsid w:val="00E03A65"/>
    <w:rsid w:val="00E07E04"/>
    <w:rsid w:val="00E67018"/>
    <w:rsid w:val="00E91BBB"/>
    <w:rsid w:val="00E94CB0"/>
    <w:rsid w:val="00E963EB"/>
    <w:rsid w:val="00EC7B4F"/>
    <w:rsid w:val="00EE581A"/>
    <w:rsid w:val="00F16690"/>
    <w:rsid w:val="00F171B4"/>
    <w:rsid w:val="00F20058"/>
    <w:rsid w:val="00F330E5"/>
    <w:rsid w:val="00F35D68"/>
    <w:rsid w:val="00F426C7"/>
    <w:rsid w:val="00F461F9"/>
    <w:rsid w:val="00F62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chartTrackingRefBased/>
  <w15:docId w15:val="{52A40598-0D51-453A-B140-474F47DD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nhideWhenUsed/>
    <w:qFormat/>
    <w:rsid w:val="00732A53"/>
    <w:rPr>
      <w:sz w:val="16"/>
    </w:rPr>
  </w:style>
  <w:style w:type="table" w:styleId="af">
    <w:name w:val="Table Grid"/>
    <w:basedOn w:val="a1"/>
    <w:uiPriority w:val="39"/>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66221D"/>
    <w:rPr>
      <w:rFonts w:ascii="Times New Roman" w:eastAsia="宋体" w:hAnsi="Times New Roman" w:cs="Times New Roman"/>
      <w:kern w:val="0"/>
      <w:sz w:val="20"/>
      <w:szCs w:val="20"/>
      <w:lang w:val="en-GB"/>
    </w:rPr>
  </w:style>
  <w:style w:type="paragraph" w:customStyle="1" w:styleId="B1">
    <w:name w:val="B1"/>
    <w:basedOn w:val="a"/>
    <w:link w:val="B1Char"/>
    <w:qFormat/>
    <w:rsid w:val="00175748"/>
    <w:pPr>
      <w:overflowPunct/>
      <w:autoSpaceDE/>
      <w:autoSpaceDN/>
      <w:adjustRightInd/>
      <w:ind w:left="568" w:hanging="284"/>
      <w:textAlignment w:val="auto"/>
    </w:pPr>
    <w:rPr>
      <w:lang w:eastAsia="en-US"/>
    </w:rPr>
  </w:style>
  <w:style w:type="character" w:customStyle="1" w:styleId="B1Char">
    <w:name w:val="B1 Char"/>
    <w:link w:val="B1"/>
    <w:qFormat/>
    <w:rsid w:val="00175748"/>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547962518">
      <w:bodyDiv w:val="1"/>
      <w:marLeft w:val="0"/>
      <w:marRight w:val="0"/>
      <w:marTop w:val="0"/>
      <w:marBottom w:val="0"/>
      <w:divBdr>
        <w:top w:val="none" w:sz="0" w:space="0" w:color="auto"/>
        <w:left w:val="none" w:sz="0" w:space="0" w:color="auto"/>
        <w:bottom w:val="none" w:sz="0" w:space="0" w:color="auto"/>
        <w:right w:val="none" w:sz="0" w:space="0" w:color="auto"/>
      </w:divBdr>
      <w:divsChild>
        <w:div w:id="2112309391">
          <w:marLeft w:val="360"/>
          <w:marRight w:val="0"/>
          <w:marTop w:val="200"/>
          <w:marBottom w:val="0"/>
          <w:divBdr>
            <w:top w:val="none" w:sz="0" w:space="0" w:color="auto"/>
            <w:left w:val="none" w:sz="0" w:space="0" w:color="auto"/>
            <w:bottom w:val="none" w:sz="0" w:space="0" w:color="auto"/>
            <w:right w:val="none" w:sz="0" w:space="0" w:color="auto"/>
          </w:divBdr>
        </w:div>
        <w:div w:id="1227958309">
          <w:marLeft w:val="1267"/>
          <w:marRight w:val="0"/>
          <w:marTop w:val="200"/>
          <w:marBottom w:val="0"/>
          <w:divBdr>
            <w:top w:val="none" w:sz="0" w:space="0" w:color="auto"/>
            <w:left w:val="none" w:sz="0" w:space="0" w:color="auto"/>
            <w:bottom w:val="none" w:sz="0" w:space="0" w:color="auto"/>
            <w:right w:val="none" w:sz="0" w:space="0" w:color="auto"/>
          </w:divBdr>
        </w:div>
      </w:divsChild>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628246931">
      <w:bodyDiv w:val="1"/>
      <w:marLeft w:val="0"/>
      <w:marRight w:val="0"/>
      <w:marTop w:val="0"/>
      <w:marBottom w:val="0"/>
      <w:divBdr>
        <w:top w:val="none" w:sz="0" w:space="0" w:color="auto"/>
        <w:left w:val="none" w:sz="0" w:space="0" w:color="auto"/>
        <w:bottom w:val="none" w:sz="0" w:space="0" w:color="auto"/>
        <w:right w:val="none" w:sz="0" w:space="0" w:color="auto"/>
      </w:divBdr>
      <w:divsChild>
        <w:div w:id="772554216">
          <w:marLeft w:val="360"/>
          <w:marRight w:val="0"/>
          <w:marTop w:val="200"/>
          <w:marBottom w:val="0"/>
          <w:divBdr>
            <w:top w:val="none" w:sz="0" w:space="0" w:color="auto"/>
            <w:left w:val="none" w:sz="0" w:space="0" w:color="auto"/>
            <w:bottom w:val="none" w:sz="0" w:space="0" w:color="auto"/>
            <w:right w:val="none" w:sz="0" w:space="0" w:color="auto"/>
          </w:divBdr>
        </w:div>
        <w:div w:id="354044334">
          <w:marLeft w:val="1267"/>
          <w:marRight w:val="0"/>
          <w:marTop w:val="200"/>
          <w:marBottom w:val="0"/>
          <w:divBdr>
            <w:top w:val="none" w:sz="0" w:space="0" w:color="auto"/>
            <w:left w:val="none" w:sz="0" w:space="0" w:color="auto"/>
            <w:bottom w:val="none" w:sz="0" w:space="0" w:color="auto"/>
            <w:right w:val="none" w:sz="0" w:space="0" w:color="auto"/>
          </w:divBdr>
        </w:div>
      </w:divsChild>
    </w:div>
    <w:div w:id="903757323">
      <w:bodyDiv w:val="1"/>
      <w:marLeft w:val="0"/>
      <w:marRight w:val="0"/>
      <w:marTop w:val="0"/>
      <w:marBottom w:val="0"/>
      <w:divBdr>
        <w:top w:val="none" w:sz="0" w:space="0" w:color="auto"/>
        <w:left w:val="none" w:sz="0" w:space="0" w:color="auto"/>
        <w:bottom w:val="none" w:sz="0" w:space="0" w:color="auto"/>
        <w:right w:val="none" w:sz="0" w:space="0" w:color="auto"/>
      </w:divBdr>
      <w:divsChild>
        <w:div w:id="269969362">
          <w:marLeft w:val="360"/>
          <w:marRight w:val="0"/>
          <w:marTop w:val="200"/>
          <w:marBottom w:val="0"/>
          <w:divBdr>
            <w:top w:val="none" w:sz="0" w:space="0" w:color="auto"/>
            <w:left w:val="none" w:sz="0" w:space="0" w:color="auto"/>
            <w:bottom w:val="none" w:sz="0" w:space="0" w:color="auto"/>
            <w:right w:val="none" w:sz="0" w:space="0" w:color="auto"/>
          </w:divBdr>
        </w:div>
        <w:div w:id="50622246">
          <w:marLeft w:val="360"/>
          <w:marRight w:val="0"/>
          <w:marTop w:val="200"/>
          <w:marBottom w:val="0"/>
          <w:divBdr>
            <w:top w:val="none" w:sz="0" w:space="0" w:color="auto"/>
            <w:left w:val="none" w:sz="0" w:space="0" w:color="auto"/>
            <w:bottom w:val="none" w:sz="0" w:space="0" w:color="auto"/>
            <w:right w:val="none" w:sz="0" w:space="0" w:color="auto"/>
          </w:divBdr>
        </w:div>
        <w:div w:id="655033175">
          <w:marLeft w:val="360"/>
          <w:marRight w:val="0"/>
          <w:marTop w:val="200"/>
          <w:marBottom w:val="0"/>
          <w:divBdr>
            <w:top w:val="none" w:sz="0" w:space="0" w:color="auto"/>
            <w:left w:val="none" w:sz="0" w:space="0" w:color="auto"/>
            <w:bottom w:val="none" w:sz="0" w:space="0" w:color="auto"/>
            <w:right w:val="none" w:sz="0" w:space="0" w:color="auto"/>
          </w:divBdr>
        </w:div>
        <w:div w:id="176314934">
          <w:marLeft w:val="1267"/>
          <w:marRight w:val="0"/>
          <w:marTop w:val="200"/>
          <w:marBottom w:val="0"/>
          <w:divBdr>
            <w:top w:val="none" w:sz="0" w:space="0" w:color="auto"/>
            <w:left w:val="none" w:sz="0" w:space="0" w:color="auto"/>
            <w:bottom w:val="none" w:sz="0" w:space="0" w:color="auto"/>
            <w:right w:val="none" w:sz="0" w:space="0" w:color="auto"/>
          </w:divBdr>
        </w:div>
        <w:div w:id="1382091107">
          <w:marLeft w:val="360"/>
          <w:marRight w:val="0"/>
          <w:marTop w:val="200"/>
          <w:marBottom w:val="0"/>
          <w:divBdr>
            <w:top w:val="none" w:sz="0" w:space="0" w:color="auto"/>
            <w:left w:val="none" w:sz="0" w:space="0" w:color="auto"/>
            <w:bottom w:val="none" w:sz="0" w:space="0" w:color="auto"/>
            <w:right w:val="none" w:sz="0" w:space="0" w:color="auto"/>
          </w:divBdr>
        </w:div>
      </w:divsChild>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1537741918">
          <w:marLeft w:val="360"/>
          <w:marRight w:val="0"/>
          <w:marTop w:val="2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540312584">
          <w:marLeft w:val="360"/>
          <w:marRight w:val="0"/>
          <w:marTop w:val="2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14812024">
          <w:marLeft w:val="180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1039433277">
          <w:marLeft w:val="360"/>
          <w:marRight w:val="0"/>
          <w:marTop w:val="2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51081304">
          <w:marLeft w:val="1800"/>
          <w:marRight w:val="0"/>
          <w:marTop w:val="1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935</TotalTime>
  <Pages>4</Pages>
  <Words>1756</Words>
  <Characters>10011</Characters>
  <Application>Microsoft Office Word</Application>
  <DocSecurity>0</DocSecurity>
  <Lines>83</Lines>
  <Paragraphs>23</Paragraphs>
  <ScaleCrop>false</ScaleCrop>
  <Company/>
  <LinksUpToDate>false</LinksUpToDate>
  <CharactersWithSpaces>11744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41</cp:revision>
  <dcterms:created xsi:type="dcterms:W3CDTF">2021-06-29T07:42:00Z</dcterms:created>
  <dcterms:modified xsi:type="dcterms:W3CDTF">2022-01-10T06:26:00Z</dcterms:modified>
</cp:coreProperties>
</file>